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C35D1" w:rsidRPr="00890D8B" w:rsidRDefault="00044372" w:rsidP="00415D01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890D8B">
        <w:rPr>
          <w:rFonts w:ascii="Times New Roman" w:hAnsi="Times New Roman" w:cs="Times New Roman"/>
          <w:b/>
          <w:bCs/>
          <w:sz w:val="24"/>
          <w:szCs w:val="24"/>
        </w:rPr>
        <w:t xml:space="preserve">LISTA DE VERIFICAÇÃO PARA </w:t>
      </w:r>
      <w:r w:rsidR="00B14E58" w:rsidRPr="00890D8B">
        <w:rPr>
          <w:rFonts w:ascii="Times New Roman" w:hAnsi="Times New Roman" w:cs="Times New Roman"/>
          <w:b/>
          <w:bCs/>
          <w:sz w:val="24"/>
          <w:szCs w:val="24"/>
        </w:rPr>
        <w:t xml:space="preserve">ELABORAÇÃO DE TERMO DE </w:t>
      </w:r>
      <w:r w:rsidR="00B14E58" w:rsidRPr="00890D8B">
        <w:rPr>
          <w:rFonts w:ascii="Times New Roman" w:hAnsi="Times New Roman" w:cs="Times New Roman"/>
          <w:b/>
          <w:bCs/>
          <w:caps/>
          <w:sz w:val="24"/>
          <w:szCs w:val="24"/>
        </w:rPr>
        <w:t>REFERÊNCIA</w:t>
      </w:r>
      <w:r w:rsidR="00A23305" w:rsidRPr="00890D8B">
        <w:rPr>
          <w:rFonts w:ascii="Times New Roman" w:hAnsi="Times New Roman" w:cs="Times New Roman"/>
          <w:b/>
          <w:bCs/>
          <w:caps/>
          <w:sz w:val="24"/>
          <w:szCs w:val="24"/>
        </w:rPr>
        <w:t xml:space="preserve"> </w:t>
      </w:r>
      <w:r w:rsidR="00A23305" w:rsidRPr="00890D8B">
        <w:rPr>
          <w:rFonts w:ascii="Times New Roman" w:hAnsi="Times New Roman" w:cs="Times New Roman"/>
          <w:b/>
          <w:caps/>
          <w:sz w:val="24"/>
          <w:szCs w:val="24"/>
        </w:rPr>
        <w:t>(art., 7º, I, e 14, Lei nº 8.666/93)</w:t>
      </w:r>
      <w:r w:rsidR="00B14E58" w:rsidRPr="00890D8B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965CF9" w:rsidRPr="00890D8B">
        <w:rPr>
          <w:rFonts w:ascii="Times New Roman" w:hAnsi="Times New Roman" w:cs="Times New Roman"/>
          <w:b/>
          <w:bCs/>
          <w:sz w:val="24"/>
          <w:szCs w:val="24"/>
        </w:rPr>
        <w:t xml:space="preserve">– </w:t>
      </w:r>
      <w:r w:rsidR="002D2D64" w:rsidRPr="00890D8B">
        <w:rPr>
          <w:rFonts w:ascii="Times New Roman" w:hAnsi="Times New Roman" w:cs="Times New Roman"/>
          <w:b/>
          <w:bCs/>
          <w:sz w:val="24"/>
          <w:szCs w:val="24"/>
        </w:rPr>
        <w:t xml:space="preserve">BENS E SERVIÇOS - </w:t>
      </w:r>
      <w:r w:rsidR="00965CF9" w:rsidRPr="00890D8B">
        <w:rPr>
          <w:rFonts w:ascii="Times New Roman" w:hAnsi="Times New Roman" w:cs="Times New Roman"/>
          <w:b/>
          <w:bCs/>
          <w:sz w:val="24"/>
          <w:szCs w:val="24"/>
        </w:rPr>
        <w:t>CONTRATAÇÃO DIRETA</w:t>
      </w:r>
      <w:r w:rsidR="002A3FF7" w:rsidRPr="00890D8B">
        <w:rPr>
          <w:rStyle w:val="Refdenotaderodap"/>
          <w:rFonts w:ascii="Times New Roman" w:hAnsi="Times New Roman" w:cs="Times New Roman"/>
          <w:b/>
          <w:bCs/>
          <w:sz w:val="24"/>
          <w:szCs w:val="24"/>
        </w:rPr>
        <w:footnoteReference w:id="1"/>
      </w:r>
    </w:p>
    <w:tbl>
      <w:tblPr>
        <w:tblW w:w="8832" w:type="dxa"/>
        <w:tblCellSpacing w:w="0" w:type="dxa"/>
        <w:tblInd w:w="2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000" w:firstRow="0" w:lastRow="0" w:firstColumn="0" w:lastColumn="0" w:noHBand="0" w:noVBand="0"/>
      </w:tblPr>
      <w:tblGrid>
        <w:gridCol w:w="8832"/>
      </w:tblGrid>
      <w:tr w:rsidR="00044372" w:rsidRPr="00890D8B">
        <w:trPr>
          <w:tblCellSpacing w:w="0" w:type="dxa"/>
        </w:trPr>
        <w:tc>
          <w:tcPr>
            <w:tcW w:w="8832" w:type="dxa"/>
            <w:tcBorders>
              <w:top w:val="outset" w:sz="6" w:space="0" w:color="auto"/>
              <w:bottom w:val="outset" w:sz="6" w:space="0" w:color="auto"/>
            </w:tcBorders>
          </w:tcPr>
          <w:p w:rsidR="00044372" w:rsidRPr="00890D8B" w:rsidRDefault="00044372" w:rsidP="00DE24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90D8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DOCUMENTOS A SEREM VERIFICADOS</w:t>
            </w:r>
          </w:p>
        </w:tc>
      </w:tr>
      <w:tr w:rsidR="00890D8B" w:rsidRPr="00890D8B">
        <w:trPr>
          <w:trHeight w:val="378"/>
          <w:tblCellSpacing w:w="0" w:type="dxa"/>
        </w:trPr>
        <w:tc>
          <w:tcPr>
            <w:tcW w:w="8832" w:type="dxa"/>
            <w:tcBorders>
              <w:top w:val="outset" w:sz="6" w:space="0" w:color="auto"/>
              <w:bottom w:val="outset" w:sz="6" w:space="0" w:color="auto"/>
            </w:tcBorders>
          </w:tcPr>
          <w:p w:rsidR="00890D8B" w:rsidRPr="00890D8B" w:rsidRDefault="00890D8B" w:rsidP="00890D8B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90D8B">
              <w:rPr>
                <w:rFonts w:ascii="Times New Roman" w:hAnsi="Times New Roman" w:cs="Times New Roman"/>
                <w:sz w:val="24"/>
                <w:szCs w:val="24"/>
              </w:rPr>
              <w:t>I – Justificativa fundamentada acerca da necessidade de contratação e dos quantitativos pretendidos;</w:t>
            </w:r>
          </w:p>
          <w:p w:rsidR="00890D8B" w:rsidRPr="00890D8B" w:rsidRDefault="00890D8B" w:rsidP="00890D8B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90D8B" w:rsidRDefault="00890D8B" w:rsidP="00890D8B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90D8B">
              <w:rPr>
                <w:rFonts w:ascii="Times New Roman" w:hAnsi="Times New Roman" w:cs="Times New Roman"/>
                <w:b/>
                <w:bCs/>
                <w:sz w:val="24"/>
                <w:szCs w:val="24"/>
                <w:highlight w:val="yellow"/>
              </w:rPr>
              <w:t>Nota explicativa</w:t>
            </w:r>
            <w:r w:rsidRPr="00890D8B"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  <w:t>: Conforme previsto na Súmula 177 do TCU, a justificativa há de ser clara, precisa e suficiente, sendo vedadas justificativas genéricas, incapazes de demonstrar de forma cabal a necessidade da Administração.</w:t>
            </w:r>
          </w:p>
          <w:p w:rsidR="00F505A3" w:rsidRPr="00890D8B" w:rsidRDefault="00F505A3" w:rsidP="00890D8B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44372" w:rsidRPr="00890D8B">
        <w:trPr>
          <w:trHeight w:val="641"/>
          <w:tblCellSpacing w:w="0" w:type="dxa"/>
        </w:trPr>
        <w:tc>
          <w:tcPr>
            <w:tcW w:w="8832" w:type="dxa"/>
            <w:tcBorders>
              <w:top w:val="outset" w:sz="6" w:space="0" w:color="auto"/>
              <w:bottom w:val="outset" w:sz="6" w:space="0" w:color="auto"/>
            </w:tcBorders>
          </w:tcPr>
          <w:p w:rsidR="00890D8B" w:rsidRDefault="00890D8B" w:rsidP="00890D8B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713E9">
              <w:rPr>
                <w:rFonts w:ascii="Times New Roman" w:hAnsi="Times New Roman" w:cs="Times New Roman"/>
                <w:sz w:val="24"/>
                <w:szCs w:val="24"/>
              </w:rPr>
              <w:t xml:space="preserve">II – </w:t>
            </w:r>
            <w:r w:rsidRPr="00E54976">
              <w:rPr>
                <w:rFonts w:ascii="Times New Roman" w:hAnsi="Times New Roman" w:cs="Times New Roman"/>
                <w:sz w:val="24"/>
                <w:szCs w:val="24"/>
              </w:rPr>
              <w:t>Detalhamento do objeto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suas especificações e respectivos quantitativos;</w:t>
            </w:r>
          </w:p>
          <w:p w:rsidR="004C0236" w:rsidRPr="00890D8B" w:rsidRDefault="004C0236" w:rsidP="002A57B5">
            <w:pPr>
              <w:pStyle w:val="Citao"/>
              <w:spacing w:after="0" w:line="240" w:lineRule="auto"/>
              <w:jc w:val="both"/>
              <w:rPr>
                <w:sz w:val="24"/>
                <w:szCs w:val="24"/>
              </w:rPr>
            </w:pPr>
          </w:p>
        </w:tc>
      </w:tr>
      <w:tr w:rsidR="00965CF9" w:rsidRPr="00890D8B">
        <w:trPr>
          <w:trHeight w:val="641"/>
          <w:tblCellSpacing w:w="0" w:type="dxa"/>
        </w:trPr>
        <w:tc>
          <w:tcPr>
            <w:tcW w:w="8832" w:type="dxa"/>
            <w:tcBorders>
              <w:top w:val="outset" w:sz="6" w:space="0" w:color="auto"/>
              <w:bottom w:val="outset" w:sz="6" w:space="0" w:color="auto"/>
            </w:tcBorders>
          </w:tcPr>
          <w:p w:rsidR="00965CF9" w:rsidRPr="00890D8B" w:rsidRDefault="00965CF9" w:rsidP="00965CF9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90D8B">
              <w:rPr>
                <w:rFonts w:ascii="Times New Roman" w:hAnsi="Times New Roman" w:cs="Times New Roman"/>
                <w:sz w:val="24"/>
                <w:szCs w:val="24"/>
              </w:rPr>
              <w:t>III - Valor estimado em planilhas com detalhamento dos valores unitários e totais;</w:t>
            </w:r>
          </w:p>
        </w:tc>
      </w:tr>
      <w:tr w:rsidR="00044372" w:rsidRPr="00890D8B">
        <w:trPr>
          <w:trHeight w:val="447"/>
          <w:tblCellSpacing w:w="0" w:type="dxa"/>
        </w:trPr>
        <w:tc>
          <w:tcPr>
            <w:tcW w:w="8832" w:type="dxa"/>
            <w:tcBorders>
              <w:top w:val="outset" w:sz="6" w:space="0" w:color="auto"/>
              <w:bottom w:val="outset" w:sz="6" w:space="0" w:color="auto"/>
            </w:tcBorders>
          </w:tcPr>
          <w:p w:rsidR="00E64382" w:rsidRPr="00890D8B" w:rsidRDefault="00044372" w:rsidP="007470D0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90D8B">
              <w:rPr>
                <w:rFonts w:ascii="Times New Roman" w:hAnsi="Times New Roman" w:cs="Times New Roman"/>
                <w:sz w:val="24"/>
                <w:szCs w:val="24"/>
              </w:rPr>
              <w:t xml:space="preserve">IV </w:t>
            </w:r>
            <w:r w:rsidR="00804296" w:rsidRPr="00890D8B">
              <w:rPr>
                <w:rFonts w:ascii="Times New Roman" w:hAnsi="Times New Roman" w:cs="Times New Roman"/>
                <w:sz w:val="24"/>
                <w:szCs w:val="24"/>
              </w:rPr>
              <w:t>–</w:t>
            </w:r>
            <w:r w:rsidRPr="00890D8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890D8B">
              <w:rPr>
                <w:rFonts w:ascii="Times New Roman" w:hAnsi="Times New Roman" w:cs="Times New Roman"/>
                <w:sz w:val="24"/>
                <w:szCs w:val="24"/>
              </w:rPr>
              <w:t>Requisitos da contratação</w:t>
            </w:r>
            <w:r w:rsidR="00965CF9" w:rsidRPr="00890D8B">
              <w:rPr>
                <w:rFonts w:ascii="Times New Roman" w:hAnsi="Times New Roman" w:cs="Times New Roman"/>
                <w:sz w:val="24"/>
                <w:szCs w:val="24"/>
              </w:rPr>
              <w:t>:</w:t>
            </w:r>
          </w:p>
          <w:p w:rsidR="00E64382" w:rsidRPr="00890D8B" w:rsidRDefault="00E64382" w:rsidP="007470D0">
            <w:pPr>
              <w:spacing w:after="0" w:line="360" w:lineRule="auto"/>
              <w:ind w:left="386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890D8B">
              <w:rPr>
                <w:rFonts w:ascii="Times New Roman" w:hAnsi="Times New Roman" w:cs="Times New Roman"/>
                <w:sz w:val="24"/>
                <w:szCs w:val="24"/>
              </w:rPr>
              <w:t xml:space="preserve">IV.1 - </w:t>
            </w:r>
            <w:r w:rsidRPr="00890D8B">
              <w:rPr>
                <w:rFonts w:ascii="Times New Roman" w:eastAsiaTheme="minorHAnsi" w:hAnsi="Times New Roman"/>
                <w:sz w:val="24"/>
                <w:szCs w:val="24"/>
              </w:rPr>
              <w:t>No caso de aquisição de bens, deverão ser informados: forma de fornecimento (integral ou parcelada); prazo, local e horário de entrega;</w:t>
            </w:r>
          </w:p>
          <w:p w:rsidR="00E64382" w:rsidRPr="00890D8B" w:rsidRDefault="00E64382" w:rsidP="007470D0">
            <w:pPr>
              <w:spacing w:after="0" w:line="360" w:lineRule="auto"/>
              <w:ind w:left="386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890D8B">
              <w:rPr>
                <w:rFonts w:ascii="Times New Roman" w:eastAsiaTheme="minorHAnsi" w:hAnsi="Times New Roman"/>
                <w:sz w:val="24"/>
                <w:szCs w:val="24"/>
              </w:rPr>
              <w:t xml:space="preserve">IV.2 - No caso de serviços, deverão ser indicados o regime de execução (empreitada por preço global; por preço unitário; integral), prazo e local de execução. </w:t>
            </w:r>
          </w:p>
          <w:p w:rsidR="00E64382" w:rsidRPr="00890D8B" w:rsidRDefault="00E64382" w:rsidP="007470D0">
            <w:pPr>
              <w:spacing w:after="0" w:line="360" w:lineRule="auto"/>
              <w:ind w:left="386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890D8B">
              <w:rPr>
                <w:rFonts w:ascii="Times New Roman" w:eastAsiaTheme="minorHAnsi" w:hAnsi="Times New Roman"/>
                <w:sz w:val="24"/>
                <w:szCs w:val="24"/>
              </w:rPr>
              <w:t>IV.3 - Se for o caso, apresentar cronograma físico-financeiro.</w:t>
            </w:r>
          </w:p>
          <w:p w:rsidR="00E64382" w:rsidRPr="00890D8B" w:rsidRDefault="00E64382" w:rsidP="007470D0">
            <w:pPr>
              <w:autoSpaceDE w:val="0"/>
              <w:autoSpaceDN w:val="0"/>
              <w:adjustRightInd w:val="0"/>
              <w:spacing w:after="0" w:line="360" w:lineRule="auto"/>
              <w:ind w:left="386"/>
              <w:jc w:val="both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890D8B">
              <w:rPr>
                <w:rFonts w:ascii="Times New Roman" w:eastAsiaTheme="minorHAnsi" w:hAnsi="Times New Roman"/>
                <w:sz w:val="24"/>
                <w:szCs w:val="24"/>
              </w:rPr>
              <w:t>IV.4 - Definição clara sobre como o bem ou serviço deve ser recebido, provisória e definitivamente: medidas, formas, materiais utilizados, composição físico - química, funcionalidades, embalagens, testes de funcionamento, tudo em conformidade com as especificações do objeto, bem como os procedimentos do contratante e do fornecedor para os casos de não aceitação do objeto;</w:t>
            </w:r>
          </w:p>
          <w:p w:rsidR="00E64382" w:rsidRPr="00890D8B" w:rsidRDefault="00E64382" w:rsidP="007470D0">
            <w:pPr>
              <w:autoSpaceDE w:val="0"/>
              <w:autoSpaceDN w:val="0"/>
              <w:adjustRightInd w:val="0"/>
              <w:spacing w:after="0" w:line="360" w:lineRule="auto"/>
              <w:ind w:left="386"/>
              <w:jc w:val="both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890D8B">
              <w:rPr>
                <w:rFonts w:ascii="Times New Roman" w:eastAsiaTheme="minorHAnsi" w:hAnsi="Times New Roman"/>
                <w:sz w:val="24"/>
                <w:szCs w:val="24"/>
              </w:rPr>
              <w:t xml:space="preserve">IV.5 – </w:t>
            </w:r>
            <w:r w:rsidR="000526F4" w:rsidRPr="00890D8B">
              <w:rPr>
                <w:rFonts w:ascii="Times New Roman" w:eastAsiaTheme="minorHAnsi" w:hAnsi="Times New Roman"/>
                <w:sz w:val="24"/>
                <w:szCs w:val="24"/>
              </w:rPr>
              <w:t xml:space="preserve">Definição, se for o caso, de </w:t>
            </w:r>
            <w:r w:rsidR="007470D0" w:rsidRPr="00890D8B">
              <w:rPr>
                <w:rFonts w:ascii="Times New Roman" w:eastAsiaTheme="minorHAnsi" w:hAnsi="Times New Roman"/>
                <w:sz w:val="24"/>
                <w:szCs w:val="24"/>
              </w:rPr>
              <w:t>exigência de garantia do produto e assistência técnica;</w:t>
            </w:r>
          </w:p>
          <w:p w:rsidR="007470D0" w:rsidRPr="00890D8B" w:rsidRDefault="007470D0" w:rsidP="007470D0">
            <w:pPr>
              <w:autoSpaceDE w:val="0"/>
              <w:autoSpaceDN w:val="0"/>
              <w:adjustRightInd w:val="0"/>
              <w:spacing w:after="0" w:line="360" w:lineRule="auto"/>
              <w:ind w:left="386"/>
              <w:jc w:val="both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890D8B">
              <w:rPr>
                <w:rFonts w:ascii="Times New Roman" w:eastAsiaTheme="minorHAnsi" w:hAnsi="Times New Roman"/>
                <w:sz w:val="24"/>
                <w:szCs w:val="24"/>
              </w:rPr>
              <w:t>IV.</w:t>
            </w:r>
            <w:r w:rsidR="00890D8B">
              <w:rPr>
                <w:rFonts w:ascii="Times New Roman" w:eastAsiaTheme="minorHAnsi" w:hAnsi="Times New Roman"/>
                <w:sz w:val="24"/>
                <w:szCs w:val="24"/>
              </w:rPr>
              <w:t>6</w:t>
            </w:r>
            <w:r w:rsidRPr="00890D8B">
              <w:rPr>
                <w:rFonts w:ascii="Times New Roman" w:eastAsiaTheme="minorHAnsi" w:hAnsi="Times New Roman"/>
                <w:sz w:val="24"/>
                <w:szCs w:val="24"/>
              </w:rPr>
              <w:t xml:space="preserve"> – Definição, se for o caso, da exigência de garantia de execução contratual e condições de sua prestação.</w:t>
            </w:r>
          </w:p>
          <w:p w:rsidR="00965CF9" w:rsidRPr="00890D8B" w:rsidRDefault="00965CF9" w:rsidP="007470D0">
            <w:pPr>
              <w:autoSpaceDE w:val="0"/>
              <w:autoSpaceDN w:val="0"/>
              <w:adjustRightInd w:val="0"/>
              <w:spacing w:after="0" w:line="360" w:lineRule="auto"/>
              <w:ind w:left="38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90D8B">
              <w:rPr>
                <w:rFonts w:ascii="Times New Roman" w:eastAsiaTheme="minorHAnsi" w:hAnsi="Times New Roman"/>
                <w:sz w:val="24"/>
                <w:szCs w:val="24"/>
              </w:rPr>
              <w:t>IV.</w:t>
            </w:r>
            <w:r w:rsidR="00890D8B">
              <w:rPr>
                <w:rFonts w:ascii="Times New Roman" w:eastAsiaTheme="minorHAnsi" w:hAnsi="Times New Roman"/>
                <w:sz w:val="24"/>
                <w:szCs w:val="24"/>
              </w:rPr>
              <w:t>7</w:t>
            </w:r>
            <w:r w:rsidRPr="00890D8B">
              <w:rPr>
                <w:rFonts w:ascii="Times New Roman" w:eastAsiaTheme="minorHAnsi" w:hAnsi="Times New Roman"/>
                <w:sz w:val="24"/>
                <w:szCs w:val="24"/>
              </w:rPr>
              <w:t xml:space="preserve"> - </w:t>
            </w:r>
            <w:r w:rsidR="00890D8B">
              <w:rPr>
                <w:rFonts w:ascii="Times New Roman" w:eastAsiaTheme="minorHAnsi" w:hAnsi="Times New Roman"/>
                <w:sz w:val="24"/>
                <w:szCs w:val="24"/>
              </w:rPr>
              <w:t>Outras disposições específicas em relação ao objeto pretendido.</w:t>
            </w:r>
          </w:p>
          <w:p w:rsidR="00A72578" w:rsidRPr="00890D8B" w:rsidRDefault="00A72578" w:rsidP="007470D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90D8B" w:rsidRDefault="00890D8B" w:rsidP="00890D8B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74D3B">
              <w:rPr>
                <w:rFonts w:ascii="Times New Roman" w:hAnsi="Times New Roman" w:cs="Times New Roman"/>
                <w:b/>
                <w:bCs/>
                <w:sz w:val="24"/>
                <w:szCs w:val="24"/>
                <w:highlight w:val="yellow"/>
              </w:rPr>
              <w:lastRenderedPageBreak/>
              <w:t>Nota explicativa</w:t>
            </w:r>
            <w:r w:rsidRPr="00174D3B"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  <w:t xml:space="preserve">: </w:t>
            </w:r>
            <w:r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  <w:t>Neste item de</w:t>
            </w:r>
            <w:r w:rsidRPr="00174D3B">
              <w:rPr>
                <w:rFonts w:ascii="Times New Roman" w:hAnsi="Times New Roman" w:cs="Times New Roman"/>
                <w:bCs/>
                <w:sz w:val="24"/>
                <w:szCs w:val="24"/>
                <w:highlight w:val="yellow"/>
              </w:rPr>
              <w:t xml:space="preserve">verão ser especificadas condições essenciais em relação à contratação, como </w:t>
            </w:r>
            <w:r w:rsidRPr="00174D3B"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  <w:t xml:space="preserve">como forma, local e prazo de fornecimento ou execução, prazo de validade, garantia, </w:t>
            </w:r>
            <w:proofErr w:type="spellStart"/>
            <w:r w:rsidRPr="00666D0F"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  <w:t>etc</w:t>
            </w:r>
            <w:proofErr w:type="spellEnd"/>
            <w:r w:rsidRPr="00666D0F"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  <w:t xml:space="preserve">; </w:t>
            </w:r>
            <w:r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  <w:t xml:space="preserve">Se for o caso, apresentar Cronograma Físico-Financeiro. </w:t>
            </w:r>
            <w:r w:rsidRPr="00666D0F"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  <w:t xml:space="preserve">É necessária </w:t>
            </w:r>
            <w:r w:rsidRPr="006B74A6"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  <w:t>a definição acerca da forma de fornecimento (no caso de compras) ou do regime de execução (no caso de serviços). Este consiste na forma pela qual o objeto do contrato será executado, podendo ser empreitada por peço global, por preço unitário, integral ou, ainda, tarefa. Já a forma de fornecimento pode ser integral ou parcelada. Será parc</w:t>
            </w:r>
            <w:r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  <w:t>elada</w:t>
            </w:r>
            <w:r w:rsidRPr="006B74A6"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  <w:t xml:space="preserve"> quando o objeto puder ser entregue em itens, lotes, etapas, parcelas etc. Exemplo: </w:t>
            </w:r>
            <w:r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  <w:t xml:space="preserve">material de limpeza ou </w:t>
            </w:r>
            <w:r w:rsidRPr="006B74A6"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  <w:t>água para entrega mensal em quantidades determinadas.</w:t>
            </w:r>
          </w:p>
          <w:p w:rsidR="00890D8B" w:rsidRPr="00890D8B" w:rsidRDefault="00890D8B" w:rsidP="002A57B5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Ecofont_Spranq_eco_Sans" w:hAnsi="Ecofont_Spranq_eco_Sans" w:cs="Ecofont_Spranq_eco_Sans"/>
                <w:sz w:val="24"/>
                <w:szCs w:val="24"/>
              </w:rPr>
            </w:pPr>
          </w:p>
        </w:tc>
      </w:tr>
      <w:tr w:rsidR="00044372" w:rsidRPr="00890D8B">
        <w:trPr>
          <w:trHeight w:val="627"/>
          <w:tblCellSpacing w:w="0" w:type="dxa"/>
        </w:trPr>
        <w:tc>
          <w:tcPr>
            <w:tcW w:w="8832" w:type="dxa"/>
            <w:tcBorders>
              <w:top w:val="outset" w:sz="6" w:space="0" w:color="auto"/>
              <w:bottom w:val="outset" w:sz="6" w:space="0" w:color="auto"/>
            </w:tcBorders>
          </w:tcPr>
          <w:p w:rsidR="00044372" w:rsidRPr="00890D8B" w:rsidRDefault="00044372" w:rsidP="0080429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90D8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V – </w:t>
            </w:r>
            <w:r w:rsidR="00804296" w:rsidRPr="00890D8B">
              <w:rPr>
                <w:rFonts w:ascii="Times New Roman" w:hAnsi="Times New Roman" w:cs="Times New Roman"/>
                <w:sz w:val="24"/>
                <w:szCs w:val="24"/>
              </w:rPr>
              <w:t>Cr</w:t>
            </w:r>
            <w:r w:rsidR="0019301E" w:rsidRPr="00890D8B">
              <w:rPr>
                <w:rFonts w:ascii="Times New Roman" w:hAnsi="Times New Roman" w:cs="Times New Roman"/>
                <w:sz w:val="24"/>
                <w:szCs w:val="24"/>
              </w:rPr>
              <w:t>itérios de medição e pagamento</w:t>
            </w:r>
            <w:r w:rsidR="00804296" w:rsidRPr="00890D8B">
              <w:rPr>
                <w:rFonts w:ascii="Times New Roman" w:hAnsi="Times New Roman" w:cs="Times New Roman"/>
                <w:sz w:val="24"/>
                <w:szCs w:val="24"/>
              </w:rPr>
              <w:t>;</w:t>
            </w:r>
          </w:p>
          <w:p w:rsidR="009338A9" w:rsidRDefault="009338A9" w:rsidP="002A57B5">
            <w:pPr>
              <w:tabs>
                <w:tab w:val="right" w:leader="dot" w:pos="8647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90D8B">
              <w:rPr>
                <w:rFonts w:ascii="Times New Roman" w:hAnsi="Times New Roman" w:cs="Times New Roman"/>
                <w:b/>
                <w:bCs/>
                <w:sz w:val="24"/>
                <w:szCs w:val="24"/>
                <w:highlight w:val="yellow"/>
              </w:rPr>
              <w:t>Nota explicativa</w:t>
            </w:r>
            <w:r w:rsidRPr="00890D8B"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  <w:t>: As disposições básicas acerca do pagamento já se encontram definidas na minuta de contrato da PGE, devendo aqui serem inseridas outras disposições pertinentes ao objeto pretendido. Deverá ainda ser definido o prazo para pagamento, que não deverá ultrapassar o prazo máximo de 30 (trinta) dias (art.40, XIV, “a”, da Lei nº 8.666/93)</w:t>
            </w:r>
            <w:r w:rsidR="00B93B3A" w:rsidRPr="00890D8B"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  <w:t>. N</w:t>
            </w:r>
            <w:r w:rsidRPr="00890D8B"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  <w:t>o caso de despesas cujos valores não ultrapassem o limite de que trata o inciso II do art. 24 da Lei 8.666</w:t>
            </w:r>
            <w:r w:rsidR="00B93B3A" w:rsidRPr="00890D8B"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  <w:t>/93</w:t>
            </w:r>
            <w:r w:rsidRPr="00890D8B"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  <w:t xml:space="preserve">, </w:t>
            </w:r>
            <w:r w:rsidR="00B93B3A" w:rsidRPr="00890D8B"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  <w:t>o prazo máximo de pagamento será de 0</w:t>
            </w:r>
            <w:r w:rsidRPr="00890D8B"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  <w:t xml:space="preserve">5 (cinco) dias úteis, contados da data da apresentação da Nota Fiscal, nos termos do art. 5º, § 3º, da </w:t>
            </w:r>
            <w:r w:rsidR="00B93B3A" w:rsidRPr="00890D8B"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  <w:t>citada Lei.</w:t>
            </w:r>
          </w:p>
          <w:p w:rsidR="00890D8B" w:rsidRPr="00890D8B" w:rsidRDefault="00890D8B" w:rsidP="002A57B5">
            <w:pPr>
              <w:tabs>
                <w:tab w:val="right" w:leader="dot" w:pos="8647"/>
              </w:tabs>
              <w:spacing w:after="0" w:line="240" w:lineRule="auto"/>
              <w:jc w:val="both"/>
              <w:rPr>
                <w:rFonts w:ascii="Ecofont_Spranq_eco_Sans" w:hAnsi="Ecofont_Spranq_eco_Sans" w:cs="Ecofont_Spranq_eco_Sans"/>
                <w:sz w:val="24"/>
                <w:szCs w:val="24"/>
              </w:rPr>
            </w:pPr>
          </w:p>
        </w:tc>
      </w:tr>
      <w:tr w:rsidR="00890D8B" w:rsidRPr="00890D8B">
        <w:trPr>
          <w:trHeight w:val="627"/>
          <w:tblCellSpacing w:w="0" w:type="dxa"/>
        </w:trPr>
        <w:tc>
          <w:tcPr>
            <w:tcW w:w="8832" w:type="dxa"/>
            <w:tcBorders>
              <w:top w:val="outset" w:sz="6" w:space="0" w:color="auto"/>
              <w:bottom w:val="outset" w:sz="6" w:space="0" w:color="auto"/>
            </w:tcBorders>
          </w:tcPr>
          <w:p w:rsidR="00F505A3" w:rsidRPr="00890D8B" w:rsidRDefault="00890D8B" w:rsidP="00F505A3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VI - Exigências de habilitação jurídica;</w:t>
            </w:r>
          </w:p>
        </w:tc>
      </w:tr>
      <w:tr w:rsidR="00890D8B" w:rsidRPr="00890D8B">
        <w:trPr>
          <w:trHeight w:val="627"/>
          <w:tblCellSpacing w:w="0" w:type="dxa"/>
        </w:trPr>
        <w:tc>
          <w:tcPr>
            <w:tcW w:w="8832" w:type="dxa"/>
            <w:tcBorders>
              <w:top w:val="outset" w:sz="6" w:space="0" w:color="auto"/>
              <w:bottom w:val="outset" w:sz="6" w:space="0" w:color="auto"/>
            </w:tcBorders>
          </w:tcPr>
          <w:p w:rsidR="00890D8B" w:rsidRDefault="00890D8B" w:rsidP="00890D8B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Theme="minorHAnsi" w:hAnsi="Times New Roman"/>
                <w:sz w:val="24"/>
                <w:szCs w:val="24"/>
              </w:rPr>
              <w:t>VII – Exigências de qualificação técnica devidamente justificadas, se for o caso;</w:t>
            </w:r>
          </w:p>
        </w:tc>
      </w:tr>
      <w:tr w:rsidR="00F04A87" w:rsidRPr="00890D8B">
        <w:trPr>
          <w:trHeight w:val="478"/>
          <w:tblCellSpacing w:w="0" w:type="dxa"/>
        </w:trPr>
        <w:tc>
          <w:tcPr>
            <w:tcW w:w="8832" w:type="dxa"/>
            <w:tcBorders>
              <w:top w:val="outset" w:sz="6" w:space="0" w:color="auto"/>
              <w:bottom w:val="outset" w:sz="6" w:space="0" w:color="auto"/>
            </w:tcBorders>
          </w:tcPr>
          <w:p w:rsidR="005A68F1" w:rsidRPr="00890D8B" w:rsidRDefault="005A68F1" w:rsidP="005A68F1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VIII</w:t>
            </w:r>
            <w:r w:rsidRPr="00890D8B">
              <w:rPr>
                <w:rFonts w:ascii="Times New Roman" w:hAnsi="Times New Roman" w:cs="Times New Roman"/>
                <w:sz w:val="24"/>
                <w:szCs w:val="24"/>
              </w:rPr>
              <w:t xml:space="preserve"> - Sanções específicas conforme as peculiaridades do objeto.</w:t>
            </w:r>
          </w:p>
          <w:p w:rsidR="00890D8B" w:rsidRPr="00890D8B" w:rsidRDefault="005A68F1" w:rsidP="005A68F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90D8B">
              <w:rPr>
                <w:rFonts w:ascii="Times New Roman" w:hAnsi="Times New Roman" w:cs="Times New Roman"/>
                <w:b/>
                <w:bCs/>
                <w:sz w:val="24"/>
                <w:szCs w:val="24"/>
                <w:highlight w:val="yellow"/>
              </w:rPr>
              <w:t>Nota explicativa</w:t>
            </w:r>
            <w:r w:rsidRPr="00890D8B"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  <w:t xml:space="preserve">: As sanções já se encontram definidas nas minutas-padrão de contrato. Em relação a tal item, portanto, somente poderão ser incluídas </w:t>
            </w:r>
            <w:r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  <w:t>sanções</w:t>
            </w:r>
            <w:r w:rsidRPr="00890D8B"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  <w:t xml:space="preserve"> específicas em relação ao objeto </w:t>
            </w:r>
            <w:r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  <w:t>contratado</w:t>
            </w:r>
            <w:r w:rsidRPr="00890D8B"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  <w:t>, se for necessário</w:t>
            </w:r>
            <w:r w:rsidRPr="00890D8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965CF9" w:rsidRPr="00890D8B">
        <w:trPr>
          <w:trHeight w:val="478"/>
          <w:tblCellSpacing w:w="0" w:type="dxa"/>
        </w:trPr>
        <w:tc>
          <w:tcPr>
            <w:tcW w:w="8832" w:type="dxa"/>
            <w:tcBorders>
              <w:top w:val="outset" w:sz="6" w:space="0" w:color="auto"/>
              <w:bottom w:val="outset" w:sz="6" w:space="0" w:color="auto"/>
            </w:tcBorders>
          </w:tcPr>
          <w:p w:rsidR="005A68F1" w:rsidRPr="00890D8B" w:rsidRDefault="005A68F1" w:rsidP="005A68F1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IX</w:t>
            </w:r>
            <w:r w:rsidRPr="00890D8B">
              <w:rPr>
                <w:rFonts w:ascii="Times New Roman" w:hAnsi="Times New Roman" w:cs="Times New Roman"/>
                <w:sz w:val="24"/>
                <w:szCs w:val="24"/>
              </w:rPr>
              <w:t xml:space="preserve"> – Obrigações específicas da contratante e da contratada em relação ao objeto pretendido;</w:t>
            </w:r>
          </w:p>
          <w:p w:rsidR="00965CF9" w:rsidRDefault="005A68F1" w:rsidP="005A68F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90D8B">
              <w:rPr>
                <w:rFonts w:ascii="Times New Roman" w:hAnsi="Times New Roman" w:cs="Times New Roman"/>
                <w:b/>
                <w:bCs/>
                <w:sz w:val="24"/>
                <w:szCs w:val="24"/>
                <w:highlight w:val="yellow"/>
              </w:rPr>
              <w:t>Nota explicativa</w:t>
            </w:r>
            <w:r w:rsidRPr="00890D8B"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  <w:t xml:space="preserve">: </w:t>
            </w:r>
            <w:r w:rsidRPr="00890D8B">
              <w:rPr>
                <w:rFonts w:ascii="Times New Roman" w:hAnsi="Times New Roman" w:cs="Times New Roman"/>
                <w:bCs/>
                <w:sz w:val="24"/>
                <w:szCs w:val="24"/>
                <w:highlight w:val="yellow"/>
              </w:rPr>
              <w:t>As obrigações da contratante e da contratada já se encontram previstas na minuta-padrão de contrato da PGE. Aqui podem ser inseridas outras obrigações específicas em relação objeto pretendido, caso se mostre necessário.</w:t>
            </w:r>
          </w:p>
          <w:p w:rsidR="005A68F1" w:rsidRPr="00890D8B" w:rsidRDefault="005A68F1" w:rsidP="005A68F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90D8B" w:rsidRPr="00890D8B">
        <w:trPr>
          <w:trHeight w:val="478"/>
          <w:tblCellSpacing w:w="0" w:type="dxa"/>
        </w:trPr>
        <w:tc>
          <w:tcPr>
            <w:tcW w:w="8832" w:type="dxa"/>
            <w:tcBorders>
              <w:top w:val="outset" w:sz="6" w:space="0" w:color="auto"/>
              <w:bottom w:val="outset" w:sz="6" w:space="0" w:color="auto"/>
            </w:tcBorders>
          </w:tcPr>
          <w:p w:rsidR="00890D8B" w:rsidRPr="00D72A88" w:rsidRDefault="00890D8B" w:rsidP="00890D8B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72A88">
              <w:rPr>
                <w:rFonts w:ascii="Times New Roman" w:hAnsi="Times New Roman" w:cs="Times New Roman"/>
                <w:sz w:val="24"/>
                <w:szCs w:val="24"/>
              </w:rPr>
              <w:t xml:space="preserve">X – Procedimentos de fiscalização e gerenciamento do contrato; </w:t>
            </w:r>
          </w:p>
          <w:p w:rsidR="00890D8B" w:rsidRDefault="00890D8B" w:rsidP="006C35D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D641AC">
              <w:rPr>
                <w:rFonts w:ascii="Times New Roman" w:hAnsi="Times New Roman" w:cs="Times New Roman"/>
                <w:b/>
                <w:bCs/>
                <w:sz w:val="24"/>
                <w:szCs w:val="24"/>
                <w:highlight w:val="yellow"/>
              </w:rPr>
              <w:t>Nota Explicativa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highlight w:val="yellow"/>
              </w:rPr>
              <w:t>:</w:t>
            </w:r>
            <w:r w:rsidRPr="00F04A87">
              <w:rPr>
                <w:rFonts w:ascii="Times New Roman" w:hAnsi="Times New Roman" w:cs="Times New Roman"/>
                <w:bCs/>
                <w:sz w:val="24"/>
                <w:szCs w:val="24"/>
                <w:highlight w:val="yellow"/>
              </w:rPr>
              <w:t xml:space="preserve"> 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  <w:highlight w:val="yellow"/>
              </w:rPr>
              <w:t>Tais procedimentos</w:t>
            </w:r>
            <w:r w:rsidRPr="00F04A87">
              <w:rPr>
                <w:rFonts w:ascii="Times New Roman" w:hAnsi="Times New Roman" w:cs="Times New Roman"/>
                <w:bCs/>
                <w:sz w:val="24"/>
                <w:szCs w:val="24"/>
                <w:highlight w:val="yellow"/>
              </w:rPr>
              <w:t xml:space="preserve"> já se encontram previstas na minuta-padrão de contrato da PGE. Aqui podem ser inseridas outras 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  <w:highlight w:val="yellow"/>
              </w:rPr>
              <w:t>rotinas</w:t>
            </w:r>
            <w:r w:rsidRPr="00F04A87">
              <w:rPr>
                <w:rFonts w:ascii="Times New Roman" w:hAnsi="Times New Roman" w:cs="Times New Roman"/>
                <w:bCs/>
                <w:sz w:val="24"/>
                <w:szCs w:val="24"/>
                <w:highlight w:val="yellow"/>
              </w:rPr>
              <w:t xml:space="preserve"> específicas em relação objeto 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  <w:highlight w:val="yellow"/>
              </w:rPr>
              <w:t>pretendido</w:t>
            </w:r>
            <w:r w:rsidRPr="00F04A87">
              <w:rPr>
                <w:rFonts w:ascii="Times New Roman" w:hAnsi="Times New Roman" w:cs="Times New Roman"/>
                <w:bCs/>
                <w:sz w:val="24"/>
                <w:szCs w:val="24"/>
                <w:highlight w:val="yellow"/>
              </w:rPr>
              <w:t>, caso se mostre necessário.</w:t>
            </w:r>
          </w:p>
          <w:p w:rsidR="006C35D1" w:rsidRDefault="006C35D1" w:rsidP="006C35D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0" w:name="_GoBack"/>
            <w:bookmarkEnd w:id="0"/>
          </w:p>
        </w:tc>
      </w:tr>
      <w:tr w:rsidR="005203FC" w:rsidRPr="00890D8B" w:rsidTr="006C35D1">
        <w:trPr>
          <w:trHeight w:val="609"/>
          <w:tblCellSpacing w:w="0" w:type="dxa"/>
        </w:trPr>
        <w:tc>
          <w:tcPr>
            <w:tcW w:w="8832" w:type="dxa"/>
            <w:tcBorders>
              <w:top w:val="outset" w:sz="6" w:space="0" w:color="auto"/>
              <w:bottom w:val="outset" w:sz="6" w:space="0" w:color="auto"/>
            </w:tcBorders>
          </w:tcPr>
          <w:p w:rsidR="005203FC" w:rsidRPr="00D72A88" w:rsidRDefault="005203FC" w:rsidP="007A41D4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XI – Disposições sobre possibilidade de subcontratação do objeto e seus limites e condições, juntamente com justificativa técnica para o percentual eventualmente adotado.</w:t>
            </w:r>
          </w:p>
        </w:tc>
      </w:tr>
    </w:tbl>
    <w:p w:rsidR="00044372" w:rsidRPr="006C35D1" w:rsidRDefault="00044372" w:rsidP="006C35D1">
      <w:pPr>
        <w:rPr>
          <w:rFonts w:ascii="Times New Roman" w:hAnsi="Times New Roman" w:cs="Times New Roman"/>
          <w:sz w:val="24"/>
          <w:szCs w:val="24"/>
        </w:rPr>
      </w:pPr>
    </w:p>
    <w:sectPr w:rsidR="00044372" w:rsidRPr="006C35D1" w:rsidSect="00037EE0">
      <w:headerReference w:type="default" r:id="rId7"/>
      <w:pgSz w:w="11906" w:h="16838"/>
      <w:pgMar w:top="417" w:right="1701" w:bottom="1417" w:left="1701" w:header="430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4C5CF6" w:rsidRDefault="004C5CF6" w:rsidP="00527A77">
      <w:pPr>
        <w:spacing w:after="0" w:line="240" w:lineRule="auto"/>
      </w:pPr>
      <w:r>
        <w:separator/>
      </w:r>
    </w:p>
  </w:endnote>
  <w:endnote w:type="continuationSeparator" w:id="0">
    <w:p w:rsidR="004C5CF6" w:rsidRDefault="004C5CF6" w:rsidP="00527A7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Ecofont_Spranq_eco_Sans">
    <w:altName w:val="Cambria"/>
    <w:charset w:val="00"/>
    <w:family w:val="swiss"/>
    <w:pitch w:val="variable"/>
    <w:sig w:usb0="800000AF" w:usb1="1000204A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4C5CF6" w:rsidRDefault="004C5CF6" w:rsidP="00527A77">
      <w:pPr>
        <w:spacing w:after="0" w:line="240" w:lineRule="auto"/>
      </w:pPr>
      <w:r>
        <w:separator/>
      </w:r>
    </w:p>
  </w:footnote>
  <w:footnote w:type="continuationSeparator" w:id="0">
    <w:p w:rsidR="004C5CF6" w:rsidRDefault="004C5CF6" w:rsidP="00527A77">
      <w:pPr>
        <w:spacing w:after="0" w:line="240" w:lineRule="auto"/>
      </w:pPr>
      <w:r>
        <w:continuationSeparator/>
      </w:r>
    </w:p>
  </w:footnote>
  <w:footnote w:id="1">
    <w:p w:rsidR="002A3FF7" w:rsidRDefault="002A3FF7" w:rsidP="002A3FF7">
      <w:pPr>
        <w:pStyle w:val="Textodenotaderodap"/>
      </w:pPr>
      <w:r>
        <w:rPr>
          <w:rStyle w:val="Refdenotaderodap"/>
        </w:rPr>
        <w:footnoteRef/>
      </w:r>
      <w:r>
        <w:t xml:space="preserve"> A presente lista não deverá ser utilizada para contratações referentes a serviços contínuos com dedicação exclusiva de mão de obra. Nesses casos, deverão ser observadas as orientações para elaboração de Termo de Referência da Instrução Normativa nº 05/2017 – SEGES/MPDG. </w:t>
      </w:r>
    </w:p>
    <w:p w:rsidR="002A3FF7" w:rsidRDefault="002A3FF7">
      <w:pPr>
        <w:pStyle w:val="Textodenotaderodap"/>
      </w:pP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A41F7" w:rsidRDefault="00EA41F7" w:rsidP="00527A77">
    <w:pPr>
      <w:pStyle w:val="Cabealho"/>
      <w:tabs>
        <w:tab w:val="left" w:pos="2400"/>
      </w:tabs>
      <w:spacing w:after="0" w:line="240" w:lineRule="auto"/>
      <w:jc w:val="center"/>
      <w:rPr>
        <w:rFonts w:ascii="Times New Roman" w:hAnsi="Times New Roman" w:cs="Times New Roman"/>
        <w:b/>
        <w:bCs/>
        <w:sz w:val="20"/>
        <w:szCs w:val="20"/>
      </w:rPr>
    </w:pPr>
    <w:r>
      <w:rPr>
        <w:noProof/>
        <w:lang w:eastAsia="pt-BR"/>
      </w:rPr>
      <w:drawing>
        <wp:anchor distT="0" distB="0" distL="114300" distR="114300" simplePos="0" relativeHeight="251660288" behindDoc="0" locked="0" layoutInCell="1" allowOverlap="1">
          <wp:simplePos x="0" y="0"/>
          <wp:positionH relativeFrom="column">
            <wp:posOffset>2348865</wp:posOffset>
          </wp:positionH>
          <wp:positionV relativeFrom="paragraph">
            <wp:posOffset>-182880</wp:posOffset>
          </wp:positionV>
          <wp:extent cx="636270" cy="581660"/>
          <wp:effectExtent l="19050" t="0" r="0" b="0"/>
          <wp:wrapSquare wrapText="left"/>
          <wp:docPr id="1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1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36270" cy="58166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</w:p>
  <w:p w:rsidR="00EA41F7" w:rsidRDefault="00EA41F7" w:rsidP="00527A77">
    <w:pPr>
      <w:pStyle w:val="Cabealho"/>
      <w:tabs>
        <w:tab w:val="left" w:pos="2400"/>
      </w:tabs>
      <w:spacing w:after="0" w:line="240" w:lineRule="auto"/>
      <w:jc w:val="center"/>
      <w:rPr>
        <w:rFonts w:ascii="Times New Roman" w:hAnsi="Times New Roman" w:cs="Times New Roman"/>
        <w:b/>
        <w:bCs/>
        <w:sz w:val="20"/>
        <w:szCs w:val="20"/>
      </w:rPr>
    </w:pPr>
  </w:p>
  <w:p w:rsidR="00EA41F7" w:rsidRDefault="00EA41F7" w:rsidP="00527A77">
    <w:pPr>
      <w:pStyle w:val="Cabealho"/>
      <w:tabs>
        <w:tab w:val="left" w:pos="2400"/>
      </w:tabs>
      <w:spacing w:after="0" w:line="240" w:lineRule="auto"/>
      <w:jc w:val="center"/>
      <w:rPr>
        <w:rFonts w:ascii="Times New Roman" w:hAnsi="Times New Roman" w:cs="Times New Roman"/>
        <w:b/>
        <w:bCs/>
        <w:sz w:val="20"/>
        <w:szCs w:val="20"/>
      </w:rPr>
    </w:pPr>
  </w:p>
  <w:p w:rsidR="00C714C8" w:rsidRDefault="00EA41F7" w:rsidP="00C714C8">
    <w:pPr>
      <w:spacing w:after="0" w:line="360" w:lineRule="auto"/>
      <w:jc w:val="center"/>
      <w:rPr>
        <w:rFonts w:ascii="Times New Roman" w:hAnsi="Times New Roman" w:cs="Times New Roman"/>
        <w:b/>
        <w:bCs/>
      </w:rPr>
    </w:pPr>
    <w:r w:rsidRPr="00527A77">
      <w:rPr>
        <w:rFonts w:ascii="Times New Roman" w:hAnsi="Times New Roman" w:cs="Times New Roman"/>
        <w:b/>
        <w:bCs/>
        <w:sz w:val="20"/>
        <w:szCs w:val="20"/>
      </w:rPr>
      <w:t>ESTADO DO PIAUÍ</w:t>
    </w:r>
    <w:r w:rsidR="00C714C8" w:rsidRPr="00C714C8">
      <w:rPr>
        <w:rFonts w:ascii="Times New Roman" w:hAnsi="Times New Roman" w:cs="Times New Roman"/>
        <w:b/>
        <w:bCs/>
      </w:rPr>
      <w:t xml:space="preserve"> </w:t>
    </w:r>
  </w:p>
  <w:p w:rsidR="00C714C8" w:rsidRPr="004B5051" w:rsidRDefault="00C714C8" w:rsidP="00C714C8">
    <w:pPr>
      <w:spacing w:after="0" w:line="360" w:lineRule="auto"/>
      <w:jc w:val="center"/>
      <w:rPr>
        <w:rFonts w:ascii="Times New Roman" w:hAnsi="Times New Roman" w:cs="Times New Roman"/>
        <w:b/>
        <w:bCs/>
      </w:rPr>
    </w:pPr>
    <w:r w:rsidRPr="004B5051">
      <w:rPr>
        <w:rFonts w:ascii="Times New Roman" w:hAnsi="Times New Roman" w:cs="Times New Roman"/>
        <w:b/>
        <w:bCs/>
      </w:rPr>
      <w:t>PROCURADORIA-GERAL DO ESTADO</w:t>
    </w:r>
  </w:p>
  <w:p w:rsidR="00EA41F7" w:rsidRPr="00527A77" w:rsidRDefault="00C714C8" w:rsidP="00C714C8">
    <w:pPr>
      <w:tabs>
        <w:tab w:val="left" w:pos="1418"/>
      </w:tabs>
      <w:spacing w:after="0" w:line="360" w:lineRule="auto"/>
      <w:jc w:val="center"/>
      <w:rPr>
        <w:rFonts w:ascii="Times New Roman" w:hAnsi="Times New Roman" w:cs="Times New Roman"/>
        <w:sz w:val="20"/>
        <w:szCs w:val="20"/>
      </w:rPr>
    </w:pPr>
    <w:r w:rsidRPr="004B5051">
      <w:rPr>
        <w:rFonts w:ascii="Times New Roman" w:hAnsi="Times New Roman" w:cs="Times New Roman"/>
        <w:b/>
        <w:bCs/>
      </w:rPr>
      <w:t>PROCURADORIA DE LICITAÇÕES E CONTRATOS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0"/>
  <w:embedSystemFonts/>
  <w:proofState w:spelling="clean" w:grammar="clean"/>
  <w:defaultTabStop w:val="708"/>
  <w:hyphenationZone w:val="425"/>
  <w:doNotHyphenateCaps/>
  <w:characterSpacingControl w:val="doNotCompress"/>
  <w:doNotValidateAgainstSchema/>
  <w:doNotDemarcateInvalidXml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46E90"/>
    <w:rsid w:val="00001D34"/>
    <w:rsid w:val="0000607B"/>
    <w:rsid w:val="000131BA"/>
    <w:rsid w:val="000165D2"/>
    <w:rsid w:val="000362E1"/>
    <w:rsid w:val="00037EE0"/>
    <w:rsid w:val="00044372"/>
    <w:rsid w:val="00044EB1"/>
    <w:rsid w:val="000526F4"/>
    <w:rsid w:val="00056745"/>
    <w:rsid w:val="00065400"/>
    <w:rsid w:val="000662AC"/>
    <w:rsid w:val="00072C61"/>
    <w:rsid w:val="00073E52"/>
    <w:rsid w:val="00080318"/>
    <w:rsid w:val="00081B90"/>
    <w:rsid w:val="0009267A"/>
    <w:rsid w:val="00093F05"/>
    <w:rsid w:val="000A124C"/>
    <w:rsid w:val="000A58A7"/>
    <w:rsid w:val="000B0BA3"/>
    <w:rsid w:val="000B1629"/>
    <w:rsid w:val="000B395F"/>
    <w:rsid w:val="000B3DBA"/>
    <w:rsid w:val="000C1511"/>
    <w:rsid w:val="000E375D"/>
    <w:rsid w:val="000E3856"/>
    <w:rsid w:val="000E46A0"/>
    <w:rsid w:val="000E7337"/>
    <w:rsid w:val="000E747F"/>
    <w:rsid w:val="000F5193"/>
    <w:rsid w:val="000F7FEA"/>
    <w:rsid w:val="00101D1A"/>
    <w:rsid w:val="001044A0"/>
    <w:rsid w:val="00112562"/>
    <w:rsid w:val="00117C3C"/>
    <w:rsid w:val="00120BDB"/>
    <w:rsid w:val="00122722"/>
    <w:rsid w:val="00133610"/>
    <w:rsid w:val="00134C4D"/>
    <w:rsid w:val="00141697"/>
    <w:rsid w:val="00141A29"/>
    <w:rsid w:val="0014200F"/>
    <w:rsid w:val="00150948"/>
    <w:rsid w:val="00152E6A"/>
    <w:rsid w:val="001531BF"/>
    <w:rsid w:val="0015402E"/>
    <w:rsid w:val="00155220"/>
    <w:rsid w:val="00155974"/>
    <w:rsid w:val="00155B8B"/>
    <w:rsid w:val="00165F50"/>
    <w:rsid w:val="001713E9"/>
    <w:rsid w:val="00171D14"/>
    <w:rsid w:val="00174D3B"/>
    <w:rsid w:val="00175269"/>
    <w:rsid w:val="00177F83"/>
    <w:rsid w:val="00182603"/>
    <w:rsid w:val="00184333"/>
    <w:rsid w:val="001872E8"/>
    <w:rsid w:val="00190E2E"/>
    <w:rsid w:val="001922B6"/>
    <w:rsid w:val="0019301E"/>
    <w:rsid w:val="001A2AB4"/>
    <w:rsid w:val="001C2809"/>
    <w:rsid w:val="001C364C"/>
    <w:rsid w:val="001C59DF"/>
    <w:rsid w:val="001D5D95"/>
    <w:rsid w:val="001F084C"/>
    <w:rsid w:val="001F2066"/>
    <w:rsid w:val="001F685C"/>
    <w:rsid w:val="00202D87"/>
    <w:rsid w:val="00204BE2"/>
    <w:rsid w:val="00207175"/>
    <w:rsid w:val="002249CB"/>
    <w:rsid w:val="002273FF"/>
    <w:rsid w:val="002312BB"/>
    <w:rsid w:val="00237A55"/>
    <w:rsid w:val="00247274"/>
    <w:rsid w:val="00252609"/>
    <w:rsid w:val="0025345E"/>
    <w:rsid w:val="00280BB6"/>
    <w:rsid w:val="00281446"/>
    <w:rsid w:val="00285ABD"/>
    <w:rsid w:val="00286FB2"/>
    <w:rsid w:val="00290DC4"/>
    <w:rsid w:val="00293267"/>
    <w:rsid w:val="002A341B"/>
    <w:rsid w:val="002A3FF7"/>
    <w:rsid w:val="002A57B5"/>
    <w:rsid w:val="002B02FB"/>
    <w:rsid w:val="002B16A5"/>
    <w:rsid w:val="002B391A"/>
    <w:rsid w:val="002B7375"/>
    <w:rsid w:val="002B73B4"/>
    <w:rsid w:val="002B79DE"/>
    <w:rsid w:val="002C7601"/>
    <w:rsid w:val="002D296F"/>
    <w:rsid w:val="002D2D64"/>
    <w:rsid w:val="002D3770"/>
    <w:rsid w:val="002E5269"/>
    <w:rsid w:val="00300DA6"/>
    <w:rsid w:val="00301110"/>
    <w:rsid w:val="00306E44"/>
    <w:rsid w:val="00307BD2"/>
    <w:rsid w:val="00310A7F"/>
    <w:rsid w:val="00310CD2"/>
    <w:rsid w:val="00310F93"/>
    <w:rsid w:val="003156F1"/>
    <w:rsid w:val="003210DE"/>
    <w:rsid w:val="003226A3"/>
    <w:rsid w:val="00323A00"/>
    <w:rsid w:val="00323A3C"/>
    <w:rsid w:val="00324B57"/>
    <w:rsid w:val="003252EE"/>
    <w:rsid w:val="00327D4E"/>
    <w:rsid w:val="00330232"/>
    <w:rsid w:val="00331C98"/>
    <w:rsid w:val="003337B6"/>
    <w:rsid w:val="0033420D"/>
    <w:rsid w:val="00344794"/>
    <w:rsid w:val="00351014"/>
    <w:rsid w:val="00361FA7"/>
    <w:rsid w:val="00366366"/>
    <w:rsid w:val="00366423"/>
    <w:rsid w:val="003708E3"/>
    <w:rsid w:val="00371298"/>
    <w:rsid w:val="00373AFB"/>
    <w:rsid w:val="003808D9"/>
    <w:rsid w:val="0038332F"/>
    <w:rsid w:val="003912D3"/>
    <w:rsid w:val="00391A93"/>
    <w:rsid w:val="003A0905"/>
    <w:rsid w:val="003A09A7"/>
    <w:rsid w:val="003B0926"/>
    <w:rsid w:val="003B5C6C"/>
    <w:rsid w:val="003C5D0B"/>
    <w:rsid w:val="003C6682"/>
    <w:rsid w:val="003C6728"/>
    <w:rsid w:val="003E0684"/>
    <w:rsid w:val="003E46AC"/>
    <w:rsid w:val="003E5FE2"/>
    <w:rsid w:val="003E764D"/>
    <w:rsid w:val="003F1B64"/>
    <w:rsid w:val="003F462C"/>
    <w:rsid w:val="00402750"/>
    <w:rsid w:val="00414BB3"/>
    <w:rsid w:val="00415D01"/>
    <w:rsid w:val="0042578A"/>
    <w:rsid w:val="0042659A"/>
    <w:rsid w:val="004301D4"/>
    <w:rsid w:val="00435167"/>
    <w:rsid w:val="0044421E"/>
    <w:rsid w:val="0044500A"/>
    <w:rsid w:val="00452D1E"/>
    <w:rsid w:val="00453E6A"/>
    <w:rsid w:val="004561DC"/>
    <w:rsid w:val="00456D3A"/>
    <w:rsid w:val="00464486"/>
    <w:rsid w:val="00464638"/>
    <w:rsid w:val="004706F3"/>
    <w:rsid w:val="00470DA2"/>
    <w:rsid w:val="00471138"/>
    <w:rsid w:val="00475A81"/>
    <w:rsid w:val="004858F7"/>
    <w:rsid w:val="00486D33"/>
    <w:rsid w:val="00490114"/>
    <w:rsid w:val="004904EB"/>
    <w:rsid w:val="004A71E4"/>
    <w:rsid w:val="004A78EB"/>
    <w:rsid w:val="004B08EC"/>
    <w:rsid w:val="004C0236"/>
    <w:rsid w:val="004C1183"/>
    <w:rsid w:val="004C12ED"/>
    <w:rsid w:val="004C35E1"/>
    <w:rsid w:val="004C51B9"/>
    <w:rsid w:val="004C5CF6"/>
    <w:rsid w:val="004D4398"/>
    <w:rsid w:val="004D6D77"/>
    <w:rsid w:val="004D7A92"/>
    <w:rsid w:val="004E13C8"/>
    <w:rsid w:val="004E5EB5"/>
    <w:rsid w:val="004F020C"/>
    <w:rsid w:val="004F0F22"/>
    <w:rsid w:val="004F2735"/>
    <w:rsid w:val="004F4F0F"/>
    <w:rsid w:val="004F6876"/>
    <w:rsid w:val="00503FB7"/>
    <w:rsid w:val="005133DD"/>
    <w:rsid w:val="005203FC"/>
    <w:rsid w:val="00523446"/>
    <w:rsid w:val="005279E5"/>
    <w:rsid w:val="00527A77"/>
    <w:rsid w:val="00531140"/>
    <w:rsid w:val="00536C25"/>
    <w:rsid w:val="0055684C"/>
    <w:rsid w:val="005605E0"/>
    <w:rsid w:val="00566C33"/>
    <w:rsid w:val="00566C53"/>
    <w:rsid w:val="00571701"/>
    <w:rsid w:val="00574306"/>
    <w:rsid w:val="00581D3F"/>
    <w:rsid w:val="005862B5"/>
    <w:rsid w:val="0059743C"/>
    <w:rsid w:val="005A582D"/>
    <w:rsid w:val="005A5AF5"/>
    <w:rsid w:val="005A68F1"/>
    <w:rsid w:val="005B019C"/>
    <w:rsid w:val="005B27B6"/>
    <w:rsid w:val="005B2C7C"/>
    <w:rsid w:val="005B663C"/>
    <w:rsid w:val="005B6BC3"/>
    <w:rsid w:val="005C0000"/>
    <w:rsid w:val="005C239A"/>
    <w:rsid w:val="005C24E3"/>
    <w:rsid w:val="005D7AF9"/>
    <w:rsid w:val="005E0C3F"/>
    <w:rsid w:val="005E7194"/>
    <w:rsid w:val="005F5A7A"/>
    <w:rsid w:val="00602DC7"/>
    <w:rsid w:val="00605F2A"/>
    <w:rsid w:val="00611345"/>
    <w:rsid w:val="00611AA4"/>
    <w:rsid w:val="00611D35"/>
    <w:rsid w:val="00614FCB"/>
    <w:rsid w:val="006219E2"/>
    <w:rsid w:val="00623E53"/>
    <w:rsid w:val="006253CA"/>
    <w:rsid w:val="00633205"/>
    <w:rsid w:val="00641C16"/>
    <w:rsid w:val="00644B06"/>
    <w:rsid w:val="00652783"/>
    <w:rsid w:val="0065290A"/>
    <w:rsid w:val="006628B6"/>
    <w:rsid w:val="00665F46"/>
    <w:rsid w:val="00666D0F"/>
    <w:rsid w:val="0067168B"/>
    <w:rsid w:val="00675338"/>
    <w:rsid w:val="00676784"/>
    <w:rsid w:val="00677BFA"/>
    <w:rsid w:val="00684852"/>
    <w:rsid w:val="00687BF2"/>
    <w:rsid w:val="0069267C"/>
    <w:rsid w:val="006928C9"/>
    <w:rsid w:val="006930C3"/>
    <w:rsid w:val="0069427E"/>
    <w:rsid w:val="0069520E"/>
    <w:rsid w:val="006A67AE"/>
    <w:rsid w:val="006B2B58"/>
    <w:rsid w:val="006B5029"/>
    <w:rsid w:val="006B74A6"/>
    <w:rsid w:val="006B7B43"/>
    <w:rsid w:val="006C049E"/>
    <w:rsid w:val="006C163E"/>
    <w:rsid w:val="006C2572"/>
    <w:rsid w:val="006C35D1"/>
    <w:rsid w:val="00700F3F"/>
    <w:rsid w:val="00722813"/>
    <w:rsid w:val="0072344D"/>
    <w:rsid w:val="00733F2D"/>
    <w:rsid w:val="007415BF"/>
    <w:rsid w:val="007458B6"/>
    <w:rsid w:val="007470D0"/>
    <w:rsid w:val="00756FE6"/>
    <w:rsid w:val="0076140E"/>
    <w:rsid w:val="0076723E"/>
    <w:rsid w:val="00772134"/>
    <w:rsid w:val="007744EF"/>
    <w:rsid w:val="00781D11"/>
    <w:rsid w:val="00783D54"/>
    <w:rsid w:val="00783D78"/>
    <w:rsid w:val="00784500"/>
    <w:rsid w:val="007951A1"/>
    <w:rsid w:val="007971EB"/>
    <w:rsid w:val="007A0FFC"/>
    <w:rsid w:val="007A19CB"/>
    <w:rsid w:val="007A41D4"/>
    <w:rsid w:val="007A51CD"/>
    <w:rsid w:val="007A7850"/>
    <w:rsid w:val="007B0BF8"/>
    <w:rsid w:val="007D7C1E"/>
    <w:rsid w:val="007E0495"/>
    <w:rsid w:val="007E268D"/>
    <w:rsid w:val="007E3118"/>
    <w:rsid w:val="007E7477"/>
    <w:rsid w:val="008002E0"/>
    <w:rsid w:val="0080351F"/>
    <w:rsid w:val="00804296"/>
    <w:rsid w:val="008116CD"/>
    <w:rsid w:val="00815468"/>
    <w:rsid w:val="0082250A"/>
    <w:rsid w:val="00824C51"/>
    <w:rsid w:val="00825005"/>
    <w:rsid w:val="008317DF"/>
    <w:rsid w:val="00837183"/>
    <w:rsid w:val="00844FA9"/>
    <w:rsid w:val="008547B4"/>
    <w:rsid w:val="0086710D"/>
    <w:rsid w:val="00867204"/>
    <w:rsid w:val="0087048E"/>
    <w:rsid w:val="00872A8C"/>
    <w:rsid w:val="00873AC5"/>
    <w:rsid w:val="00875302"/>
    <w:rsid w:val="008763EC"/>
    <w:rsid w:val="0088349F"/>
    <w:rsid w:val="00883C94"/>
    <w:rsid w:val="00886BAA"/>
    <w:rsid w:val="0088754D"/>
    <w:rsid w:val="00890D8B"/>
    <w:rsid w:val="00896515"/>
    <w:rsid w:val="00896B55"/>
    <w:rsid w:val="00897040"/>
    <w:rsid w:val="008A3C72"/>
    <w:rsid w:val="008A7E0F"/>
    <w:rsid w:val="008B27AF"/>
    <w:rsid w:val="008B28D1"/>
    <w:rsid w:val="008B4A5A"/>
    <w:rsid w:val="008C21BF"/>
    <w:rsid w:val="008C2DE4"/>
    <w:rsid w:val="008C3D8B"/>
    <w:rsid w:val="008C495E"/>
    <w:rsid w:val="008D32D1"/>
    <w:rsid w:val="008D5F48"/>
    <w:rsid w:val="008D7A73"/>
    <w:rsid w:val="008E11E9"/>
    <w:rsid w:val="008F1D6F"/>
    <w:rsid w:val="008F250A"/>
    <w:rsid w:val="008F48DB"/>
    <w:rsid w:val="00903535"/>
    <w:rsid w:val="00905D95"/>
    <w:rsid w:val="00912064"/>
    <w:rsid w:val="009125ED"/>
    <w:rsid w:val="00915EC2"/>
    <w:rsid w:val="009160A8"/>
    <w:rsid w:val="0091637F"/>
    <w:rsid w:val="00917674"/>
    <w:rsid w:val="009338A9"/>
    <w:rsid w:val="00936109"/>
    <w:rsid w:val="00937569"/>
    <w:rsid w:val="009375D9"/>
    <w:rsid w:val="00941F1D"/>
    <w:rsid w:val="0094301D"/>
    <w:rsid w:val="00947DBB"/>
    <w:rsid w:val="00953EDC"/>
    <w:rsid w:val="00954F44"/>
    <w:rsid w:val="009601E6"/>
    <w:rsid w:val="00963E2C"/>
    <w:rsid w:val="00965AC7"/>
    <w:rsid w:val="00965CF9"/>
    <w:rsid w:val="00970187"/>
    <w:rsid w:val="00976141"/>
    <w:rsid w:val="00985EDD"/>
    <w:rsid w:val="0098731F"/>
    <w:rsid w:val="009A2A53"/>
    <w:rsid w:val="009A3C71"/>
    <w:rsid w:val="009B0C6B"/>
    <w:rsid w:val="009B285E"/>
    <w:rsid w:val="009B44C5"/>
    <w:rsid w:val="009B5F65"/>
    <w:rsid w:val="009B6B27"/>
    <w:rsid w:val="009C1C91"/>
    <w:rsid w:val="009C26CE"/>
    <w:rsid w:val="009C49C5"/>
    <w:rsid w:val="009C57E9"/>
    <w:rsid w:val="009D0970"/>
    <w:rsid w:val="009D5D8B"/>
    <w:rsid w:val="009D5E51"/>
    <w:rsid w:val="009E1CB7"/>
    <w:rsid w:val="009E1F8C"/>
    <w:rsid w:val="009F1ABF"/>
    <w:rsid w:val="00A0004E"/>
    <w:rsid w:val="00A01832"/>
    <w:rsid w:val="00A153AC"/>
    <w:rsid w:val="00A15F8F"/>
    <w:rsid w:val="00A23305"/>
    <w:rsid w:val="00A27875"/>
    <w:rsid w:val="00A279BA"/>
    <w:rsid w:val="00A33E0E"/>
    <w:rsid w:val="00A37272"/>
    <w:rsid w:val="00A37C18"/>
    <w:rsid w:val="00A42FFB"/>
    <w:rsid w:val="00A450E8"/>
    <w:rsid w:val="00A4643A"/>
    <w:rsid w:val="00A46FC5"/>
    <w:rsid w:val="00A475E2"/>
    <w:rsid w:val="00A47ECA"/>
    <w:rsid w:val="00A50B32"/>
    <w:rsid w:val="00A52CBA"/>
    <w:rsid w:val="00A61193"/>
    <w:rsid w:val="00A704E6"/>
    <w:rsid w:val="00A72578"/>
    <w:rsid w:val="00A7536C"/>
    <w:rsid w:val="00A807FA"/>
    <w:rsid w:val="00A85FEA"/>
    <w:rsid w:val="00A874E5"/>
    <w:rsid w:val="00A90D2D"/>
    <w:rsid w:val="00A93090"/>
    <w:rsid w:val="00AA6940"/>
    <w:rsid w:val="00AA72D5"/>
    <w:rsid w:val="00AB66B0"/>
    <w:rsid w:val="00AB6962"/>
    <w:rsid w:val="00AB6BD2"/>
    <w:rsid w:val="00AC5F6B"/>
    <w:rsid w:val="00AD0084"/>
    <w:rsid w:val="00AD47D8"/>
    <w:rsid w:val="00AE010D"/>
    <w:rsid w:val="00AE65F4"/>
    <w:rsid w:val="00AE717B"/>
    <w:rsid w:val="00AE7DC5"/>
    <w:rsid w:val="00AE7ED3"/>
    <w:rsid w:val="00AF0A98"/>
    <w:rsid w:val="00AF58E2"/>
    <w:rsid w:val="00B00D3F"/>
    <w:rsid w:val="00B03FF6"/>
    <w:rsid w:val="00B04E86"/>
    <w:rsid w:val="00B10393"/>
    <w:rsid w:val="00B10A5C"/>
    <w:rsid w:val="00B115CE"/>
    <w:rsid w:val="00B117F4"/>
    <w:rsid w:val="00B127C8"/>
    <w:rsid w:val="00B14E58"/>
    <w:rsid w:val="00B14E6F"/>
    <w:rsid w:val="00B339C2"/>
    <w:rsid w:val="00B34E71"/>
    <w:rsid w:val="00B41F91"/>
    <w:rsid w:val="00B6384E"/>
    <w:rsid w:val="00B65C1B"/>
    <w:rsid w:val="00B67337"/>
    <w:rsid w:val="00B7015A"/>
    <w:rsid w:val="00B71888"/>
    <w:rsid w:val="00B74F83"/>
    <w:rsid w:val="00B7752B"/>
    <w:rsid w:val="00B77BBB"/>
    <w:rsid w:val="00B90771"/>
    <w:rsid w:val="00B924BC"/>
    <w:rsid w:val="00B93B3A"/>
    <w:rsid w:val="00B97EB3"/>
    <w:rsid w:val="00BA2F8D"/>
    <w:rsid w:val="00BA5149"/>
    <w:rsid w:val="00BA5557"/>
    <w:rsid w:val="00BA59C6"/>
    <w:rsid w:val="00BB03B8"/>
    <w:rsid w:val="00BB18C1"/>
    <w:rsid w:val="00BB386F"/>
    <w:rsid w:val="00BB5758"/>
    <w:rsid w:val="00BC0728"/>
    <w:rsid w:val="00BC20DF"/>
    <w:rsid w:val="00BC4DF1"/>
    <w:rsid w:val="00BC6647"/>
    <w:rsid w:val="00BC67C6"/>
    <w:rsid w:val="00BC733F"/>
    <w:rsid w:val="00BD204A"/>
    <w:rsid w:val="00BD61CE"/>
    <w:rsid w:val="00BD7778"/>
    <w:rsid w:val="00BE0010"/>
    <w:rsid w:val="00BE18AE"/>
    <w:rsid w:val="00BF0843"/>
    <w:rsid w:val="00BF38E8"/>
    <w:rsid w:val="00BF4704"/>
    <w:rsid w:val="00C013B7"/>
    <w:rsid w:val="00C05994"/>
    <w:rsid w:val="00C07FF1"/>
    <w:rsid w:val="00C13C0E"/>
    <w:rsid w:val="00C14BED"/>
    <w:rsid w:val="00C20339"/>
    <w:rsid w:val="00C2615D"/>
    <w:rsid w:val="00C27E4D"/>
    <w:rsid w:val="00C31196"/>
    <w:rsid w:val="00C424CE"/>
    <w:rsid w:val="00C44FEC"/>
    <w:rsid w:val="00C463BB"/>
    <w:rsid w:val="00C4758A"/>
    <w:rsid w:val="00C51F03"/>
    <w:rsid w:val="00C52B82"/>
    <w:rsid w:val="00C53F61"/>
    <w:rsid w:val="00C714C8"/>
    <w:rsid w:val="00C72CB2"/>
    <w:rsid w:val="00C72FEA"/>
    <w:rsid w:val="00C80568"/>
    <w:rsid w:val="00C80D85"/>
    <w:rsid w:val="00C87231"/>
    <w:rsid w:val="00CA072E"/>
    <w:rsid w:val="00CA147F"/>
    <w:rsid w:val="00CA1A85"/>
    <w:rsid w:val="00CA3CDF"/>
    <w:rsid w:val="00CA6554"/>
    <w:rsid w:val="00CA6E45"/>
    <w:rsid w:val="00CB229F"/>
    <w:rsid w:val="00CB69E6"/>
    <w:rsid w:val="00CC256D"/>
    <w:rsid w:val="00CD3344"/>
    <w:rsid w:val="00CD334A"/>
    <w:rsid w:val="00CE33F6"/>
    <w:rsid w:val="00CF1166"/>
    <w:rsid w:val="00CF4F6B"/>
    <w:rsid w:val="00CF5985"/>
    <w:rsid w:val="00D04286"/>
    <w:rsid w:val="00D05FD2"/>
    <w:rsid w:val="00D06F89"/>
    <w:rsid w:val="00D12450"/>
    <w:rsid w:val="00D12DD6"/>
    <w:rsid w:val="00D2459E"/>
    <w:rsid w:val="00D278CD"/>
    <w:rsid w:val="00D46E90"/>
    <w:rsid w:val="00D47F14"/>
    <w:rsid w:val="00D505D1"/>
    <w:rsid w:val="00D53107"/>
    <w:rsid w:val="00D631A9"/>
    <w:rsid w:val="00D65FFF"/>
    <w:rsid w:val="00D6723C"/>
    <w:rsid w:val="00D731F6"/>
    <w:rsid w:val="00D74C25"/>
    <w:rsid w:val="00D8520F"/>
    <w:rsid w:val="00D85C2B"/>
    <w:rsid w:val="00D933C7"/>
    <w:rsid w:val="00D94E53"/>
    <w:rsid w:val="00DA0B60"/>
    <w:rsid w:val="00DA1B97"/>
    <w:rsid w:val="00DA2685"/>
    <w:rsid w:val="00DA3A33"/>
    <w:rsid w:val="00DA642D"/>
    <w:rsid w:val="00DB36BB"/>
    <w:rsid w:val="00DB6C63"/>
    <w:rsid w:val="00DB7BDB"/>
    <w:rsid w:val="00DC058E"/>
    <w:rsid w:val="00DC1DFA"/>
    <w:rsid w:val="00DC31B7"/>
    <w:rsid w:val="00DC5171"/>
    <w:rsid w:val="00DC710B"/>
    <w:rsid w:val="00DD274F"/>
    <w:rsid w:val="00DD4368"/>
    <w:rsid w:val="00DE24BC"/>
    <w:rsid w:val="00DE47D5"/>
    <w:rsid w:val="00DE759F"/>
    <w:rsid w:val="00DE7C36"/>
    <w:rsid w:val="00E02991"/>
    <w:rsid w:val="00E02AB5"/>
    <w:rsid w:val="00E04025"/>
    <w:rsid w:val="00E05172"/>
    <w:rsid w:val="00E078E5"/>
    <w:rsid w:val="00E13F7A"/>
    <w:rsid w:val="00E16608"/>
    <w:rsid w:val="00E22E9B"/>
    <w:rsid w:val="00E243AE"/>
    <w:rsid w:val="00E26AFA"/>
    <w:rsid w:val="00E26C72"/>
    <w:rsid w:val="00E26C76"/>
    <w:rsid w:val="00E32763"/>
    <w:rsid w:val="00E35666"/>
    <w:rsid w:val="00E459CD"/>
    <w:rsid w:val="00E4628E"/>
    <w:rsid w:val="00E50120"/>
    <w:rsid w:val="00E54054"/>
    <w:rsid w:val="00E54976"/>
    <w:rsid w:val="00E54C75"/>
    <w:rsid w:val="00E64382"/>
    <w:rsid w:val="00E667E3"/>
    <w:rsid w:val="00E733E1"/>
    <w:rsid w:val="00E767F5"/>
    <w:rsid w:val="00E81EDB"/>
    <w:rsid w:val="00E855BD"/>
    <w:rsid w:val="00E873A2"/>
    <w:rsid w:val="00E87A34"/>
    <w:rsid w:val="00E9234B"/>
    <w:rsid w:val="00EA3EFE"/>
    <w:rsid w:val="00EA41F7"/>
    <w:rsid w:val="00EA53D0"/>
    <w:rsid w:val="00EB3531"/>
    <w:rsid w:val="00EB5CCE"/>
    <w:rsid w:val="00ED1292"/>
    <w:rsid w:val="00ED1A18"/>
    <w:rsid w:val="00ED79ED"/>
    <w:rsid w:val="00EE5868"/>
    <w:rsid w:val="00EF04FC"/>
    <w:rsid w:val="00EF0AD2"/>
    <w:rsid w:val="00EF1D5A"/>
    <w:rsid w:val="00EF334D"/>
    <w:rsid w:val="00EF606E"/>
    <w:rsid w:val="00F00963"/>
    <w:rsid w:val="00F04A87"/>
    <w:rsid w:val="00F31375"/>
    <w:rsid w:val="00F33021"/>
    <w:rsid w:val="00F37FCD"/>
    <w:rsid w:val="00F412DF"/>
    <w:rsid w:val="00F427EE"/>
    <w:rsid w:val="00F43E38"/>
    <w:rsid w:val="00F44C3E"/>
    <w:rsid w:val="00F505A3"/>
    <w:rsid w:val="00F55A07"/>
    <w:rsid w:val="00F6458B"/>
    <w:rsid w:val="00F64C00"/>
    <w:rsid w:val="00F66EF8"/>
    <w:rsid w:val="00F7225E"/>
    <w:rsid w:val="00F725C4"/>
    <w:rsid w:val="00F76913"/>
    <w:rsid w:val="00F7695B"/>
    <w:rsid w:val="00F77EC2"/>
    <w:rsid w:val="00F8496C"/>
    <w:rsid w:val="00F91DDD"/>
    <w:rsid w:val="00F92ACA"/>
    <w:rsid w:val="00F946EC"/>
    <w:rsid w:val="00FA17C9"/>
    <w:rsid w:val="00FA4BD4"/>
    <w:rsid w:val="00FA528D"/>
    <w:rsid w:val="00FB3C15"/>
    <w:rsid w:val="00FB7930"/>
    <w:rsid w:val="00FC17A5"/>
    <w:rsid w:val="00FC4857"/>
    <w:rsid w:val="00FC6434"/>
    <w:rsid w:val="00FD1F35"/>
    <w:rsid w:val="00FD2322"/>
    <w:rsid w:val="00FD2724"/>
    <w:rsid w:val="00FD344F"/>
    <w:rsid w:val="00FD5A87"/>
    <w:rsid w:val="00FE1D10"/>
    <w:rsid w:val="00FE5C9C"/>
    <w:rsid w:val="00FE7E48"/>
    <w:rsid w:val="00FF43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,"/>
  <w:listSeparator w:val=";"/>
  <w15:docId w15:val="{40E579F9-44F5-4D2E-8026-005F9BEFD5F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sz w:val="22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22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D46E90"/>
    <w:pPr>
      <w:spacing w:after="200" w:line="276" w:lineRule="auto"/>
    </w:pPr>
    <w:rPr>
      <w:rFonts w:cs="Calibri"/>
      <w:lang w:val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rsid w:val="00527A77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locked/>
    <w:rsid w:val="00527A77"/>
    <w:rPr>
      <w:lang w:val="pt-BR"/>
    </w:rPr>
  </w:style>
  <w:style w:type="paragraph" w:styleId="Rodap">
    <w:name w:val="footer"/>
    <w:basedOn w:val="Normal"/>
    <w:link w:val="RodapChar"/>
    <w:uiPriority w:val="99"/>
    <w:semiHidden/>
    <w:rsid w:val="00527A77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semiHidden/>
    <w:locked/>
    <w:rsid w:val="00527A77"/>
    <w:rPr>
      <w:lang w:val="pt-BR"/>
    </w:rPr>
  </w:style>
  <w:style w:type="paragraph" w:styleId="Textodebalo">
    <w:name w:val="Balloon Text"/>
    <w:basedOn w:val="Normal"/>
    <w:link w:val="TextodebaloChar"/>
    <w:uiPriority w:val="99"/>
    <w:semiHidden/>
    <w:rsid w:val="00527A7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locked/>
    <w:rsid w:val="00527A77"/>
    <w:rPr>
      <w:rFonts w:ascii="Tahoma" w:hAnsi="Tahoma" w:cs="Tahoma"/>
      <w:sz w:val="16"/>
      <w:szCs w:val="16"/>
      <w:lang w:val="pt-BR"/>
    </w:rPr>
  </w:style>
  <w:style w:type="paragraph" w:styleId="Textodenotaderodap">
    <w:name w:val="footnote text"/>
    <w:basedOn w:val="Normal"/>
    <w:link w:val="TextodenotaderodapChar"/>
    <w:uiPriority w:val="99"/>
    <w:semiHidden/>
    <w:rsid w:val="00037EE0"/>
    <w:pPr>
      <w:spacing w:after="0" w:line="240" w:lineRule="auto"/>
      <w:jc w:val="both"/>
    </w:pPr>
    <w:rPr>
      <w:rFonts w:ascii="Arial" w:eastAsia="Times New Roman" w:hAnsi="Arial" w:cs="Arial"/>
      <w:sz w:val="20"/>
      <w:szCs w:val="20"/>
      <w:lang w:eastAsia="pt-BR"/>
    </w:rPr>
  </w:style>
  <w:style w:type="character" w:customStyle="1" w:styleId="TextodenotaderodapChar">
    <w:name w:val="Texto de nota de rodapé Char"/>
    <w:basedOn w:val="Fontepargpadro"/>
    <w:link w:val="Textodenotaderodap"/>
    <w:uiPriority w:val="99"/>
    <w:semiHidden/>
    <w:locked/>
    <w:rsid w:val="00037EE0"/>
    <w:rPr>
      <w:rFonts w:ascii="Arial" w:hAnsi="Arial" w:cs="Arial"/>
      <w:sz w:val="20"/>
      <w:szCs w:val="20"/>
      <w:lang w:val="pt-BR" w:eastAsia="pt-BR"/>
    </w:rPr>
  </w:style>
  <w:style w:type="character" w:styleId="Refdenotaderodap">
    <w:name w:val="footnote reference"/>
    <w:basedOn w:val="Fontepargpadro"/>
    <w:uiPriority w:val="99"/>
    <w:semiHidden/>
    <w:rsid w:val="00037EE0"/>
    <w:rPr>
      <w:vertAlign w:val="superscript"/>
    </w:rPr>
  </w:style>
  <w:style w:type="paragraph" w:styleId="NormalWeb">
    <w:name w:val="Normal (Web)"/>
    <w:basedOn w:val="Normal"/>
    <w:uiPriority w:val="99"/>
    <w:rsid w:val="0069427E"/>
    <w:pPr>
      <w:spacing w:before="100" w:beforeAutospacing="1" w:after="100" w:afterAutospacing="1" w:line="240" w:lineRule="auto"/>
    </w:pPr>
    <w:rPr>
      <w:rFonts w:ascii="Arial" w:hAnsi="Arial" w:cs="Arial"/>
      <w:sz w:val="24"/>
      <w:szCs w:val="24"/>
      <w:lang w:val="en-US"/>
    </w:rPr>
  </w:style>
  <w:style w:type="character" w:styleId="Hyperlink">
    <w:name w:val="Hyperlink"/>
    <w:basedOn w:val="Fontepargpadro"/>
    <w:uiPriority w:val="99"/>
    <w:semiHidden/>
    <w:rsid w:val="0069427E"/>
    <w:rPr>
      <w:color w:val="0000FF"/>
      <w:u w:val="single"/>
    </w:rPr>
  </w:style>
  <w:style w:type="paragraph" w:styleId="MapadoDocumento">
    <w:name w:val="Document Map"/>
    <w:basedOn w:val="Normal"/>
    <w:link w:val="MapadoDocumentoChar"/>
    <w:uiPriority w:val="99"/>
    <w:semiHidden/>
    <w:rsid w:val="001531BF"/>
    <w:pPr>
      <w:shd w:val="clear" w:color="auto" w:fill="000080"/>
    </w:pPr>
    <w:rPr>
      <w:rFonts w:ascii="Tahoma" w:hAnsi="Tahoma" w:cs="Tahoma"/>
      <w:sz w:val="20"/>
      <w:szCs w:val="20"/>
    </w:rPr>
  </w:style>
  <w:style w:type="character" w:customStyle="1" w:styleId="MapadoDocumentoChar">
    <w:name w:val="Mapa do Documento Char"/>
    <w:basedOn w:val="Fontepargpadro"/>
    <w:link w:val="MapadoDocumento"/>
    <w:uiPriority w:val="99"/>
    <w:semiHidden/>
    <w:locked/>
    <w:rsid w:val="00A37C18"/>
    <w:rPr>
      <w:rFonts w:ascii="Times New Roman" w:hAnsi="Times New Roman" w:cs="Times New Roman"/>
      <w:sz w:val="2"/>
      <w:szCs w:val="2"/>
      <w:lang w:val="pt-BR"/>
    </w:rPr>
  </w:style>
  <w:style w:type="paragraph" w:styleId="Textodecomentrio">
    <w:name w:val="annotation text"/>
    <w:basedOn w:val="Normal"/>
    <w:link w:val="TextodecomentrioChar"/>
    <w:uiPriority w:val="99"/>
    <w:semiHidden/>
    <w:rsid w:val="005B2C7C"/>
    <w:pPr>
      <w:spacing w:line="240" w:lineRule="auto"/>
    </w:pPr>
    <w:rPr>
      <w:sz w:val="20"/>
      <w:szCs w:val="20"/>
    </w:rPr>
  </w:style>
  <w:style w:type="character" w:customStyle="1" w:styleId="TextodecomentrioChar">
    <w:name w:val="Texto de comentário Char"/>
    <w:basedOn w:val="Fontepargpadro"/>
    <w:link w:val="Textodecomentrio"/>
    <w:uiPriority w:val="99"/>
    <w:locked/>
    <w:rsid w:val="005B2C7C"/>
    <w:rPr>
      <w:rFonts w:ascii="Calibri" w:hAnsi="Calibri" w:cs="Calibri"/>
      <w:lang w:val="pt-BR" w:eastAsia="en-US"/>
    </w:rPr>
  </w:style>
  <w:style w:type="paragraph" w:styleId="Citao">
    <w:name w:val="Quote"/>
    <w:basedOn w:val="Normal"/>
    <w:next w:val="Normal"/>
    <w:link w:val="CitaoChar"/>
    <w:uiPriority w:val="29"/>
    <w:qFormat/>
    <w:rsid w:val="00FE1D10"/>
    <w:pPr>
      <w:spacing w:after="160" w:line="259" w:lineRule="auto"/>
    </w:pPr>
    <w:rPr>
      <w:i/>
      <w:iCs/>
      <w:color w:val="000000"/>
    </w:rPr>
  </w:style>
  <w:style w:type="character" w:customStyle="1" w:styleId="CitaoChar">
    <w:name w:val="Citação Char"/>
    <w:basedOn w:val="Fontepargpadro"/>
    <w:link w:val="Citao"/>
    <w:uiPriority w:val="29"/>
    <w:locked/>
    <w:rsid w:val="00FE1D10"/>
    <w:rPr>
      <w:i/>
      <w:iCs/>
      <w:color w:val="000000"/>
      <w:lang w:val="pt-BR"/>
    </w:rPr>
  </w:style>
  <w:style w:type="paragraph" w:customStyle="1" w:styleId="Standard">
    <w:name w:val="Standard"/>
    <w:link w:val="StandardChar"/>
    <w:uiPriority w:val="99"/>
    <w:rsid w:val="00E02AB5"/>
    <w:pPr>
      <w:suppressAutoHyphens/>
      <w:autoSpaceDN w:val="0"/>
      <w:spacing w:after="200" w:line="276" w:lineRule="auto"/>
      <w:textAlignment w:val="baseline"/>
    </w:pPr>
    <w:rPr>
      <w:rFonts w:eastAsia="Times New Roman" w:cs="Calibri"/>
      <w:kern w:val="3"/>
      <w:lang w:val="pt-BR" w:eastAsia="zh-CN"/>
    </w:rPr>
  </w:style>
  <w:style w:type="character" w:customStyle="1" w:styleId="StandardChar">
    <w:name w:val="Standard Char"/>
    <w:basedOn w:val="Fontepargpadro"/>
    <w:link w:val="Standard"/>
    <w:uiPriority w:val="99"/>
    <w:locked/>
    <w:rsid w:val="00E02AB5"/>
    <w:rPr>
      <w:rFonts w:eastAsia="Times New Roman"/>
      <w:kern w:val="3"/>
      <w:sz w:val="22"/>
      <w:szCs w:val="22"/>
      <w:lang w:val="pt-BR" w:eastAsia="zh-CN"/>
    </w:rPr>
  </w:style>
  <w:style w:type="paragraph" w:customStyle="1" w:styleId="Default">
    <w:name w:val="Default"/>
    <w:rsid w:val="00DA642D"/>
    <w:pPr>
      <w:autoSpaceDE w:val="0"/>
      <w:autoSpaceDN w:val="0"/>
      <w:adjustRightInd w:val="0"/>
    </w:pPr>
    <w:rPr>
      <w:rFonts w:ascii="Times New Roman" w:hAnsi="Times New Roman"/>
      <w:color w:val="000000"/>
      <w:sz w:val="24"/>
      <w:szCs w:val="24"/>
      <w:lang w:val="pt-BR"/>
    </w:rPr>
  </w:style>
  <w:style w:type="character" w:styleId="Forte">
    <w:name w:val="Strong"/>
    <w:basedOn w:val="Fontepargpadro"/>
    <w:uiPriority w:val="22"/>
    <w:qFormat/>
    <w:locked/>
    <w:rsid w:val="00A0004E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3310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2559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5595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4204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9327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4C7B44F8-43F7-4328-A920-7035A13DF91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61</TotalTime>
  <Pages>2</Pages>
  <Words>676</Words>
  <Characters>3653</Characters>
  <Application>Microsoft Office Word</Application>
  <DocSecurity>0</DocSecurity>
  <Lines>30</Lines>
  <Paragraphs>8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4321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JOAO VICTOR</dc:creator>
  <cp:lastModifiedBy>Usuário do Windows</cp:lastModifiedBy>
  <cp:revision>16</cp:revision>
  <cp:lastPrinted>2019-07-12T12:12:00Z</cp:lastPrinted>
  <dcterms:created xsi:type="dcterms:W3CDTF">2020-06-02T22:45:00Z</dcterms:created>
  <dcterms:modified xsi:type="dcterms:W3CDTF">2021-03-02T13:21:00Z</dcterms:modified>
</cp:coreProperties>
</file>