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372" w:rsidRPr="001713E9" w:rsidRDefault="00044372" w:rsidP="00415D01">
      <w:pPr>
        <w:jc w:val="center"/>
        <w:rPr>
          <w:rFonts w:ascii="Times New Roman" w:hAnsi="Times New Roman" w:cs="Times New Roman"/>
          <w:sz w:val="24"/>
          <w:szCs w:val="24"/>
        </w:rPr>
      </w:pPr>
      <w:r w:rsidRPr="001713E9">
        <w:rPr>
          <w:rFonts w:ascii="Times New Roman" w:hAnsi="Times New Roman" w:cs="Times New Roman"/>
          <w:b/>
          <w:bCs/>
          <w:sz w:val="24"/>
          <w:szCs w:val="24"/>
        </w:rPr>
        <w:t xml:space="preserve">LISTA DE VERIFICAÇÃO PARA </w:t>
      </w:r>
      <w:r w:rsidR="00B14E58">
        <w:rPr>
          <w:rFonts w:ascii="Times New Roman" w:hAnsi="Times New Roman" w:cs="Times New Roman"/>
          <w:b/>
          <w:bCs/>
          <w:sz w:val="24"/>
          <w:szCs w:val="24"/>
        </w:rPr>
        <w:t xml:space="preserve">ELABORAÇÃO DE TERMO DE REFERÊNCIA </w:t>
      </w:r>
      <w:r w:rsidR="00C4243C" w:rsidRPr="009E4A9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0D353D" w:rsidRPr="009E4A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77F7" w:rsidRPr="009E4A9E">
        <w:rPr>
          <w:rFonts w:ascii="Times New Roman" w:hAnsi="Times New Roman" w:cs="Times New Roman"/>
          <w:b/>
          <w:bCs/>
          <w:sz w:val="24"/>
          <w:szCs w:val="24"/>
        </w:rPr>
        <w:t xml:space="preserve">SERVIÇOS COMUNS DE ENGENHARIA - </w:t>
      </w:r>
      <w:r w:rsidR="000D353D" w:rsidRPr="009E4A9E">
        <w:rPr>
          <w:rFonts w:ascii="Times New Roman" w:hAnsi="Times New Roman" w:cs="Times New Roman"/>
          <w:b/>
          <w:bCs/>
          <w:sz w:val="24"/>
          <w:szCs w:val="24"/>
        </w:rPr>
        <w:t>PREGÃO</w:t>
      </w:r>
      <w:r w:rsidR="00D965B2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tbl>
      <w:tblPr>
        <w:tblW w:w="8832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32"/>
      </w:tblGrid>
      <w:tr w:rsidR="00044372" w:rsidRPr="001713E9">
        <w:trPr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044372" w:rsidRPr="001713E9" w:rsidRDefault="00044372" w:rsidP="00DE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DOCUMENTOS A SEREM VERIFICADOS</w:t>
            </w:r>
          </w:p>
        </w:tc>
      </w:tr>
      <w:tr w:rsidR="00044372" w:rsidRPr="001713E9">
        <w:trPr>
          <w:trHeight w:val="3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044372" w:rsidRDefault="00044372" w:rsidP="00A725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I – </w:t>
            </w:r>
            <w:r w:rsidR="00C4243C" w:rsidRPr="00E54976">
              <w:rPr>
                <w:rFonts w:ascii="Times New Roman" w:hAnsi="Times New Roman" w:cs="Times New Roman"/>
                <w:sz w:val="24"/>
                <w:szCs w:val="24"/>
              </w:rPr>
              <w:t>Justificativa fundamentada acerca da necessidade de contratação</w:t>
            </w:r>
            <w:r w:rsidR="00C4243C">
              <w:rPr>
                <w:rFonts w:ascii="Times New Roman" w:hAnsi="Times New Roman" w:cs="Times New Roman"/>
                <w:sz w:val="24"/>
                <w:szCs w:val="24"/>
              </w:rPr>
              <w:t xml:space="preserve"> e dos quantitativos pretendidos e classificação </w:t>
            </w:r>
            <w:r w:rsidR="00C4243C" w:rsidRPr="00C677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do </w:t>
            </w:r>
            <w:r w:rsidR="00C677F7" w:rsidRPr="00C677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objeto como serviço comum de engenharia</w:t>
            </w:r>
            <w:r w:rsidR="00C677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42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9E8">
              <w:rPr>
                <w:rFonts w:ascii="Times New Roman" w:hAnsi="Times New Roman" w:cs="Times New Roman"/>
                <w:sz w:val="24"/>
                <w:szCs w:val="24"/>
              </w:rPr>
              <w:t>Caso se trate de Sistema de Registro de Preços, deverá ser abordada a necessidade e pertinência de sua adoção ao caso</w:t>
            </w:r>
            <w:r w:rsidR="00C4243C" w:rsidRPr="00E549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43C" w:rsidRPr="00C677F7" w:rsidRDefault="00C4243C" w:rsidP="00C67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7F7" w:rsidRPr="005071E3" w:rsidRDefault="00C6258C" w:rsidP="00E1504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071E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Nota Explicativa</w:t>
            </w:r>
            <w:r w:rsidRPr="005071E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:</w:t>
            </w:r>
            <w:r w:rsidRPr="005071E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C4243C" w:rsidRPr="005071E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Conforme previsto na Súmula 177 do TCU, a justificativa há de ser clara, precisa e suficiente, sendo vedadas justificativas genéricas, incapazes de demonstrar de forma cabal a necessidade da </w:t>
            </w:r>
            <w:r w:rsidR="00C4243C" w:rsidRPr="009E4A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Administração. </w:t>
            </w:r>
            <w:r w:rsidR="00C677F7" w:rsidRPr="009E4A9E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yellow"/>
                <w:lang w:eastAsia="zh-CN"/>
              </w:rPr>
              <w:t>Súmula 257 do TCU: “O uso do pregão nas contratações de serviços comuns de engenharia encontra amparo na Lei nº 10.520/2002.”</w:t>
            </w:r>
          </w:p>
          <w:p w:rsidR="00756FE6" w:rsidRPr="001713E9" w:rsidRDefault="00756FE6" w:rsidP="00C4243C">
            <w:pPr>
              <w:pStyle w:val="Cita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72" w:rsidRPr="001713E9">
        <w:trPr>
          <w:trHeight w:val="641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9369B5" w:rsidRDefault="00044372" w:rsidP="00A725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II – </w:t>
            </w:r>
            <w:r w:rsidR="00C4243C" w:rsidRPr="00E54976">
              <w:rPr>
                <w:rFonts w:ascii="Times New Roman" w:hAnsi="Times New Roman" w:cs="Times New Roman"/>
                <w:sz w:val="24"/>
                <w:szCs w:val="24"/>
              </w:rPr>
              <w:t>Detalhamento do objeto</w:t>
            </w:r>
            <w:r w:rsidR="00C4243C">
              <w:rPr>
                <w:rFonts w:ascii="Times New Roman" w:hAnsi="Times New Roman" w:cs="Times New Roman"/>
                <w:sz w:val="24"/>
                <w:szCs w:val="24"/>
              </w:rPr>
              <w:t>, suas especificações e respectivos quantitativos;</w:t>
            </w:r>
          </w:p>
          <w:p w:rsidR="004C0236" w:rsidRPr="004C0236" w:rsidRDefault="004C0236" w:rsidP="00C4243C">
            <w:pPr>
              <w:pStyle w:val="Citao"/>
              <w:spacing w:after="0" w:line="240" w:lineRule="auto"/>
              <w:jc w:val="both"/>
            </w:pPr>
          </w:p>
        </w:tc>
      </w:tr>
      <w:tr w:rsidR="00044372" w:rsidRPr="001713E9">
        <w:trPr>
          <w:trHeight w:val="369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044372" w:rsidRDefault="00044372" w:rsidP="00F41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III – </w:t>
            </w:r>
            <w:r w:rsidR="00F41577" w:rsidRPr="00D459C7">
              <w:rPr>
                <w:rFonts w:ascii="Times New Roman" w:hAnsi="Times New Roman" w:cs="Times New Roman"/>
                <w:sz w:val="24"/>
                <w:szCs w:val="24"/>
              </w:rPr>
              <w:t>Preço</w:t>
            </w:r>
            <w:r w:rsidR="00D459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4243C" w:rsidRPr="00D459C7">
              <w:rPr>
                <w:rFonts w:ascii="Times New Roman" w:hAnsi="Times New Roman" w:cs="Times New Roman"/>
                <w:sz w:val="24"/>
                <w:szCs w:val="24"/>
              </w:rPr>
              <w:t xml:space="preserve"> estimado</w:t>
            </w:r>
            <w:r w:rsidR="00D459C7">
              <w:rPr>
                <w:rFonts w:ascii="Times New Roman" w:hAnsi="Times New Roman" w:cs="Times New Roman"/>
                <w:sz w:val="24"/>
                <w:szCs w:val="24"/>
              </w:rPr>
              <w:t>s ou máximos</w:t>
            </w:r>
            <w:r w:rsidR="00C4243C" w:rsidRPr="00D459C7">
              <w:rPr>
                <w:rFonts w:ascii="Times New Roman" w:hAnsi="Times New Roman" w:cs="Times New Roman"/>
                <w:sz w:val="24"/>
                <w:szCs w:val="24"/>
              </w:rPr>
              <w:t xml:space="preserve"> em planilhas com detalhamento dos </w:t>
            </w:r>
            <w:r w:rsidR="00F41577" w:rsidRPr="00D459C7">
              <w:rPr>
                <w:rFonts w:ascii="Times New Roman" w:hAnsi="Times New Roman" w:cs="Times New Roman"/>
                <w:sz w:val="24"/>
                <w:szCs w:val="24"/>
              </w:rPr>
              <w:t>preços</w:t>
            </w:r>
            <w:r w:rsidR="00C4243C" w:rsidRPr="00D459C7">
              <w:rPr>
                <w:rFonts w:ascii="Times New Roman" w:hAnsi="Times New Roman" w:cs="Times New Roman"/>
                <w:sz w:val="24"/>
                <w:szCs w:val="24"/>
              </w:rPr>
              <w:t xml:space="preserve"> unitários</w:t>
            </w:r>
            <w:r w:rsidR="00C4243C">
              <w:rPr>
                <w:rFonts w:ascii="Times New Roman" w:hAnsi="Times New Roman" w:cs="Times New Roman"/>
                <w:sz w:val="24"/>
                <w:szCs w:val="24"/>
              </w:rPr>
              <w:t xml:space="preserve"> e totais;</w:t>
            </w:r>
          </w:p>
          <w:p w:rsidR="00836238" w:rsidRDefault="00836238" w:rsidP="00F41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238" w:rsidRPr="005071E3" w:rsidRDefault="00A95EAD" w:rsidP="00F41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1E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Nota Explicativa</w:t>
            </w:r>
            <w:r w:rsidRPr="005071E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:</w:t>
            </w:r>
            <w:r w:rsidRPr="005071E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O art. 15 da Lei Estadual nº 7.482/2021 estabelece a possibilidade de a Administração adotar o orçamento estimado como uma informação sigilosa, devendo o presente item ser excluído em tal caso. Entretanto, nos casos em que for adotado o critério de julgamento pelo maior desconto, o </w:t>
            </w:r>
            <w:r w:rsidR="00F41577" w:rsidRPr="005071E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preço</w:t>
            </w:r>
            <w:r w:rsidRPr="005071E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estimado, o </w:t>
            </w:r>
            <w:r w:rsidR="00F41577" w:rsidRPr="005071E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preço</w:t>
            </w:r>
            <w:r w:rsidRPr="005071E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máximo aceitável ou o </w:t>
            </w:r>
            <w:r w:rsidR="00F41577" w:rsidRPr="005071E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preço</w:t>
            </w:r>
            <w:r w:rsidRPr="005071E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de referência para aplicação do desconto constará obrigatoriamente do instrumento convocatório. </w:t>
            </w:r>
          </w:p>
          <w:p w:rsidR="00836238" w:rsidRPr="005071E3" w:rsidRDefault="00836238" w:rsidP="00F41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87" w:rsidRPr="005071E3" w:rsidRDefault="00F41577" w:rsidP="00F41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1E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Nota Explicativa</w:t>
            </w:r>
            <w:r w:rsidRPr="005071E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:  Não sendo adotado o orçamento sigiloso, deverá constar na versão final do Termo de Referência, que servirá como anexo do Edital, tabela contendo os preços estimados </w:t>
            </w:r>
            <w:r w:rsidR="00D459C7" w:rsidRPr="005071E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ou preços máximos aceitáveis.</w:t>
            </w:r>
          </w:p>
          <w:p w:rsidR="00E1504F" w:rsidRPr="005071E3" w:rsidRDefault="00E1504F" w:rsidP="00F41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504F" w:rsidRPr="009E4A9E" w:rsidRDefault="00E1504F" w:rsidP="00E15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071E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Nota Explicativa</w:t>
            </w:r>
            <w:r w:rsidRPr="009E4A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:  </w:t>
            </w:r>
            <w:r w:rsidRPr="009E4A9E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Preços máximos:</w:t>
            </w:r>
            <w:r w:rsidRPr="009E4A9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 O critério de aceitabilidade dos preços unitários e global deve basear-se na fixação de preço máximo, de acordo com a Súmula 259 do TCU, </w:t>
            </w:r>
            <w:proofErr w:type="spellStart"/>
            <w:r w:rsidRPr="009E4A9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verbis</w:t>
            </w:r>
            <w:proofErr w:type="spellEnd"/>
            <w:r w:rsidRPr="009E4A9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: “Nas contratações de obras e serviços de engenharia, a definição do critério de aceitabilidade dos preços unitários e global, com fixação de preços máximos para ambos, é obrigação e não faculdade do gestor.” </w:t>
            </w:r>
          </w:p>
          <w:p w:rsidR="00E1504F" w:rsidRPr="005071E3" w:rsidRDefault="00E1504F" w:rsidP="00E15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A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 Decreto nº 7.983, de 2013, em seu art. 2º, IX, define critério de aceitabilidade de preço como parâmetros de preços máximos, unitários e global, a serem fixados pela administração pública e publicados no edital de licitação para aceitação e julgamento das propostas dos licitantes.</w:t>
            </w:r>
          </w:p>
          <w:p w:rsidR="00E1504F" w:rsidRPr="005071E3" w:rsidRDefault="00E1504F" w:rsidP="00F41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504F" w:rsidRPr="009E4A9E" w:rsidRDefault="00E1504F" w:rsidP="00E15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071E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Nota </w:t>
            </w:r>
            <w:r w:rsidRPr="009E4A9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Explicativa</w:t>
            </w:r>
            <w:r w:rsidRPr="009E4A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:  </w:t>
            </w:r>
            <w:r w:rsidRPr="009E4A9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Planilha de Composição de Preços Unitários e de Custos</w:t>
            </w:r>
            <w:r w:rsidRPr="009E4A9E"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yellow"/>
              </w:rPr>
              <w:t xml:space="preserve">: </w:t>
            </w:r>
            <w:r w:rsidRPr="009E4A9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O órgão ou entidade deve elaborar a planilha de custos e formação de preços de acordo com as peculiaridades do serviço de engenharia a ser realizado e, ainda, em compatibilidade com um dos regimes de execução previstos na Lei nº 8.666, de 1993: empreitada por preço global, empreitada por preço unitário, empreitada integral ou tarefa.</w:t>
            </w:r>
          </w:p>
          <w:p w:rsidR="00E1504F" w:rsidRPr="005071E3" w:rsidRDefault="00E1504F" w:rsidP="00F41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A9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As planilhas utilizadas deverão conter a descrição completa de cada um dos insumos utilizados, a indicação do código </w:t>
            </w:r>
            <w:proofErr w:type="spellStart"/>
            <w:r w:rsidRPr="009E4A9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Sinapi</w:t>
            </w:r>
            <w:proofErr w:type="spellEnd"/>
            <w:r w:rsidRPr="009E4A9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 (ressalvados apenas aqueles não contemplados no sistema), as respectivas unidades de medida, a composição dos custos, os coeficientes de produtividade e os valores resultantes (composição analítica), em compatibilidade com as especificações dos serviços estabelecidos no estudo técnico preliminar ou anteprojeto (Decreto n. 7.983, de 2013, art. 2º). Também deverá constar a composição detalhada do BDI, nos termos do Decreto n. 7.983, de 2013, art. 9º).</w:t>
            </w:r>
            <w:r w:rsidRPr="005071E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 </w:t>
            </w:r>
          </w:p>
          <w:p w:rsidR="00E1504F" w:rsidRDefault="00E1504F" w:rsidP="00F41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04F" w:rsidRDefault="00E1504F" w:rsidP="00F41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77" w:rsidRPr="00F04A87" w:rsidRDefault="00F41577" w:rsidP="00F4157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044372" w:rsidRPr="001713E9">
        <w:trPr>
          <w:trHeight w:val="447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E64382" w:rsidRDefault="00044372" w:rsidP="007470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IV </w:t>
            </w:r>
            <w:r w:rsidR="008042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296" w:rsidRPr="001C2809">
              <w:rPr>
                <w:rFonts w:ascii="Times New Roman" w:hAnsi="Times New Roman" w:cs="Times New Roman"/>
                <w:sz w:val="24"/>
                <w:szCs w:val="24"/>
              </w:rPr>
              <w:t xml:space="preserve">Requisitos </w:t>
            </w:r>
            <w:r w:rsidR="00C4243C">
              <w:rPr>
                <w:rFonts w:ascii="Times New Roman" w:hAnsi="Times New Roman" w:cs="Times New Roman"/>
                <w:sz w:val="24"/>
                <w:szCs w:val="24"/>
              </w:rPr>
              <w:t>da contratação:</w:t>
            </w:r>
          </w:p>
          <w:p w:rsidR="00E64382" w:rsidRPr="00336639" w:rsidRDefault="00E64382" w:rsidP="007470D0">
            <w:pPr>
              <w:spacing w:after="0" w:line="360" w:lineRule="auto"/>
              <w:ind w:left="386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IV.1 - </w:t>
            </w:r>
            <w:r w:rsidR="00BD33B6">
              <w:rPr>
                <w:rFonts w:ascii="Times New Roman" w:eastAsiaTheme="minorHAnsi" w:hAnsi="Times New Roman"/>
                <w:sz w:val="24"/>
                <w:szCs w:val="24"/>
              </w:rPr>
              <w:t>R</w:t>
            </w:r>
            <w:r w:rsidR="00BD33B6" w:rsidRPr="00336639">
              <w:rPr>
                <w:rFonts w:ascii="Times New Roman" w:eastAsiaTheme="minorHAnsi" w:hAnsi="Times New Roman"/>
                <w:sz w:val="24"/>
                <w:szCs w:val="24"/>
              </w:rPr>
              <w:t>egime de execuç</w:t>
            </w:r>
            <w:r w:rsidR="00BD33B6">
              <w:rPr>
                <w:rFonts w:ascii="Times New Roman" w:eastAsiaTheme="minorHAnsi" w:hAnsi="Times New Roman"/>
                <w:sz w:val="24"/>
                <w:szCs w:val="24"/>
              </w:rPr>
              <w:t>ão (empreitada por preço global; por preço unitário;</w:t>
            </w:r>
            <w:r w:rsidR="00BD33B6" w:rsidRPr="00336639">
              <w:rPr>
                <w:rFonts w:ascii="Times New Roman" w:eastAsiaTheme="minorHAnsi" w:hAnsi="Times New Roman"/>
                <w:sz w:val="24"/>
                <w:szCs w:val="24"/>
              </w:rPr>
              <w:t xml:space="preserve"> integr</w:t>
            </w:r>
            <w:r w:rsidR="00BD33B6">
              <w:rPr>
                <w:rFonts w:ascii="Times New Roman" w:eastAsiaTheme="minorHAnsi" w:hAnsi="Times New Roman"/>
                <w:sz w:val="24"/>
                <w:szCs w:val="24"/>
              </w:rPr>
              <w:t xml:space="preserve">al), </w:t>
            </w:r>
          </w:p>
          <w:p w:rsidR="00BD33B6" w:rsidRPr="009E4A9E" w:rsidRDefault="00E64382" w:rsidP="00BD33B6">
            <w:pPr>
              <w:autoSpaceDE w:val="0"/>
              <w:autoSpaceDN w:val="0"/>
              <w:adjustRightInd w:val="0"/>
              <w:spacing w:after="0" w:line="360" w:lineRule="auto"/>
              <w:ind w:left="386"/>
              <w:jc w:val="both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IV.2 </w:t>
            </w:r>
            <w:r w:rsidRPr="00957D7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 </w:t>
            </w:r>
            <w:r w:rsidR="00BD33B6" w:rsidRPr="009E4A9E">
              <w:rPr>
                <w:rFonts w:ascii="Times New Roman" w:hAnsi="Times New Roman" w:cs="Times New Roman"/>
                <w:sz w:val="24"/>
                <w:szCs w:val="24"/>
              </w:rPr>
              <w:t>Data de início das etapas de execução, conclusão e entrega do objeto;</w:t>
            </w:r>
          </w:p>
          <w:p w:rsidR="00E64382" w:rsidRDefault="00E64382" w:rsidP="007470D0">
            <w:pPr>
              <w:spacing w:after="0" w:line="360" w:lineRule="auto"/>
              <w:ind w:left="38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57D7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IV.3 - </w:t>
            </w:r>
            <w:r w:rsidR="0040479E" w:rsidRPr="00957D73">
              <w:rPr>
                <w:rFonts w:ascii="Times New Roman" w:eastAsiaTheme="minorHAnsi" w:hAnsi="Times New Roman" w:cs="Times New Roman"/>
                <w:sz w:val="24"/>
                <w:szCs w:val="24"/>
              </w:rPr>
              <w:t>C</w:t>
            </w:r>
            <w:r w:rsidR="00DE6384" w:rsidRPr="00957D73">
              <w:rPr>
                <w:rFonts w:ascii="Times New Roman" w:eastAsiaTheme="minorHAnsi" w:hAnsi="Times New Roman" w:cs="Times New Roman"/>
                <w:sz w:val="24"/>
                <w:szCs w:val="24"/>
              </w:rPr>
              <w:t>ronograma físico-financeiro</w:t>
            </w:r>
            <w:r w:rsidR="00DE6384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40479E" w:rsidRPr="009E4A9E" w:rsidRDefault="005071E3" w:rsidP="005071E3">
            <w:pPr>
              <w:spacing w:after="0" w:line="240" w:lineRule="auto"/>
              <w:ind w:left="386"/>
              <w:jc w:val="both"/>
              <w:rPr>
                <w:rFonts w:ascii="Times New Roman" w:eastAsiaTheme="minorHAnsi" w:hAnsi="Times New Roman"/>
                <w:b/>
                <w:bCs/>
                <w:iCs/>
                <w:sz w:val="20"/>
                <w:szCs w:val="20"/>
                <w:highlight w:val="yellow"/>
                <w:u w:val="single"/>
              </w:rPr>
            </w:pPr>
            <w:r w:rsidRPr="005071E3">
              <w:rPr>
                <w:rFonts w:ascii="Times New Roman" w:eastAsiaTheme="minorHAnsi" w:hAnsi="Times New Roman"/>
                <w:b/>
                <w:iCs/>
                <w:sz w:val="20"/>
                <w:szCs w:val="20"/>
                <w:highlight w:val="yellow"/>
              </w:rPr>
              <w:t xml:space="preserve">Nota </w:t>
            </w:r>
            <w:r w:rsidRPr="009E4A9E">
              <w:rPr>
                <w:rFonts w:ascii="Times New Roman" w:eastAsiaTheme="minorHAnsi" w:hAnsi="Times New Roman"/>
                <w:b/>
                <w:iCs/>
                <w:sz w:val="20"/>
                <w:szCs w:val="20"/>
                <w:highlight w:val="yellow"/>
              </w:rPr>
              <w:t>Explicativa:</w:t>
            </w:r>
            <w:r w:rsidR="00BD33B6" w:rsidRPr="009E4A9E">
              <w:rPr>
                <w:rFonts w:ascii="Times New Roman" w:eastAsiaTheme="minorHAnsi" w:hAnsi="Times New Roman"/>
                <w:iCs/>
                <w:sz w:val="20"/>
                <w:szCs w:val="20"/>
                <w:highlight w:val="yellow"/>
              </w:rPr>
              <w:t xml:space="preserve"> </w:t>
            </w:r>
            <w:r w:rsidR="0040479E" w:rsidRPr="009E4A9E">
              <w:rPr>
                <w:rFonts w:ascii="Times New Roman" w:eastAsiaTheme="minorHAnsi" w:hAnsi="Times New Roman"/>
                <w:iCs/>
                <w:sz w:val="20"/>
                <w:szCs w:val="20"/>
                <w:highlight w:val="yellow"/>
              </w:rPr>
              <w:t>O cronograma físico-financeiro integra, obrigatoriamente, o edital, como item ou anexo deste. Seu objetivo é o de prever desembolsos no decorrer do tempo de execução proposto pelo projeto básico. O pagamento corresponderá à efetiva contraprestação de fornecimento dos bens, de execução de obra ou de prestação de serviço, em conformidade com as etapas fixadas no cronograma físico e de acordo com a disponibilidade de recursos financeiros, vedada a antecipação de pagamento à contratada</w:t>
            </w:r>
            <w:r w:rsidRPr="009E4A9E">
              <w:rPr>
                <w:rFonts w:ascii="Times New Roman" w:eastAsiaTheme="minorHAnsi" w:hAnsi="Times New Roman"/>
                <w:iCs/>
                <w:sz w:val="20"/>
                <w:szCs w:val="20"/>
                <w:highlight w:val="yellow"/>
              </w:rPr>
              <w:t xml:space="preserve">. </w:t>
            </w:r>
            <w:r w:rsidR="0040479E" w:rsidRPr="009E4A9E">
              <w:rPr>
                <w:rFonts w:ascii="Times New Roman" w:eastAsiaTheme="minorHAnsi" w:hAnsi="Times New Roman"/>
                <w:iCs/>
                <w:sz w:val="20"/>
                <w:szCs w:val="20"/>
                <w:highlight w:val="yellow"/>
              </w:rPr>
              <w:t xml:space="preserve">A Lei nº 8.666, de 1993, menciona esse relevante instrumento de controle de execução e de pagamento em serviços de engenharia em mais de uma de suas disposições, a saber: </w:t>
            </w:r>
            <w:proofErr w:type="spellStart"/>
            <w:r w:rsidR="0040479E" w:rsidRPr="009E4A9E">
              <w:rPr>
                <w:rFonts w:ascii="Times New Roman" w:eastAsiaTheme="minorHAnsi" w:hAnsi="Times New Roman"/>
                <w:iCs/>
                <w:sz w:val="20"/>
                <w:szCs w:val="20"/>
                <w:highlight w:val="yellow"/>
              </w:rPr>
              <w:t>arts</w:t>
            </w:r>
            <w:proofErr w:type="spellEnd"/>
            <w:r w:rsidR="0040479E" w:rsidRPr="009E4A9E">
              <w:rPr>
                <w:rFonts w:ascii="Times New Roman" w:eastAsiaTheme="minorHAnsi" w:hAnsi="Times New Roman"/>
                <w:iCs/>
                <w:sz w:val="20"/>
                <w:szCs w:val="20"/>
                <w:highlight w:val="yellow"/>
              </w:rPr>
              <w:t xml:space="preserve">. 7º, § 2º, III, art. 40, XIV, “b”, art. 65, II, “c”. </w:t>
            </w:r>
          </w:p>
          <w:p w:rsidR="0040479E" w:rsidRPr="005071E3" w:rsidRDefault="0040479E" w:rsidP="005071E3">
            <w:pPr>
              <w:spacing w:after="0" w:line="240" w:lineRule="auto"/>
              <w:ind w:left="386"/>
              <w:jc w:val="both"/>
              <w:rPr>
                <w:rFonts w:ascii="Times New Roman" w:eastAsiaTheme="minorHAnsi" w:hAnsi="Times New Roman"/>
                <w:iCs/>
                <w:sz w:val="20"/>
                <w:szCs w:val="20"/>
              </w:rPr>
            </w:pPr>
            <w:r w:rsidRPr="009E4A9E">
              <w:rPr>
                <w:rFonts w:ascii="Times New Roman" w:eastAsiaTheme="minorHAnsi" w:hAnsi="Times New Roman"/>
                <w:b/>
                <w:bCs/>
                <w:iCs/>
                <w:sz w:val="20"/>
                <w:szCs w:val="20"/>
                <w:highlight w:val="yellow"/>
                <w:u w:val="single"/>
              </w:rPr>
              <w:t>Estende-se ao serviço de engenharia o disposto no art. 12 do Decreto nº 7.983, de 2013, o qual estabelece que a minuta de contrato deva conter cronograma físico-financeiro com a especificação física completa das etapas necessárias à medição, ao monitoramento e ao controle das obras.</w:t>
            </w:r>
            <w:r w:rsidRPr="005071E3">
              <w:rPr>
                <w:rFonts w:ascii="Times New Roman" w:eastAsiaTheme="minorHAnsi" w:hAnsi="Times New Roman"/>
                <w:b/>
                <w:bCs/>
                <w:iCs/>
                <w:sz w:val="20"/>
                <w:szCs w:val="20"/>
                <w:u w:val="single"/>
              </w:rPr>
              <w:t xml:space="preserve"> </w:t>
            </w:r>
          </w:p>
          <w:p w:rsidR="0040479E" w:rsidRDefault="0040479E" w:rsidP="007470D0">
            <w:pPr>
              <w:spacing w:after="0" w:line="360" w:lineRule="auto"/>
              <w:ind w:left="386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64382" w:rsidRDefault="00E64382" w:rsidP="007470D0">
            <w:pPr>
              <w:autoSpaceDE w:val="0"/>
              <w:autoSpaceDN w:val="0"/>
              <w:adjustRightInd w:val="0"/>
              <w:spacing w:after="0" w:line="360" w:lineRule="auto"/>
              <w:ind w:left="386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IV.4 - </w:t>
            </w:r>
            <w:r w:rsidRPr="00336639">
              <w:rPr>
                <w:rFonts w:ascii="Times New Roman" w:eastAsiaTheme="minorHAnsi" w:hAnsi="Times New Roman"/>
                <w:sz w:val="24"/>
                <w:szCs w:val="24"/>
              </w:rPr>
              <w:t>Definição clara sobre como o serviço deve ser recebido, provisória e definitivamente: medidas,</w:t>
            </w:r>
            <w:r w:rsidR="005071E3">
              <w:rPr>
                <w:rFonts w:ascii="Times New Roman" w:eastAsiaTheme="minorHAnsi" w:hAnsi="Times New Roman"/>
                <w:sz w:val="24"/>
                <w:szCs w:val="24"/>
              </w:rPr>
              <w:t xml:space="preserve"> formas, materiais utilizados, </w:t>
            </w:r>
            <w:r w:rsidRPr="00336639">
              <w:rPr>
                <w:rFonts w:ascii="Times New Roman" w:eastAsiaTheme="minorHAnsi" w:hAnsi="Times New Roman"/>
                <w:sz w:val="24"/>
                <w:szCs w:val="24"/>
              </w:rPr>
              <w:t>tudo em conformidade com as especificações do objeto, bem como os procedimentos do contratante e do fornecedor para os casos de não aceitação do objeto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5071E3" w:rsidRDefault="007470D0" w:rsidP="005071E3">
            <w:pPr>
              <w:autoSpaceDE w:val="0"/>
              <w:autoSpaceDN w:val="0"/>
              <w:adjustRightInd w:val="0"/>
              <w:spacing w:after="0" w:line="360" w:lineRule="auto"/>
              <w:ind w:left="386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IV.</w:t>
            </w:r>
            <w:r w:rsidR="00534A18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526F4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  <w:r w:rsidR="005071E3">
              <w:rPr>
                <w:rFonts w:ascii="Times New Roman" w:eastAsiaTheme="minorHAnsi" w:hAnsi="Times New Roman"/>
                <w:sz w:val="24"/>
                <w:szCs w:val="24"/>
              </w:rPr>
              <w:t xml:space="preserve"> Definição, se for o caso, da exigência de garantia de execução contratual e condições de sua prestação;</w:t>
            </w:r>
          </w:p>
          <w:p w:rsidR="007470D0" w:rsidRDefault="00534A18" w:rsidP="007470D0">
            <w:pPr>
              <w:autoSpaceDE w:val="0"/>
              <w:autoSpaceDN w:val="0"/>
              <w:adjustRightInd w:val="0"/>
              <w:spacing w:after="0" w:line="360" w:lineRule="auto"/>
              <w:ind w:left="3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A9E">
              <w:rPr>
                <w:rFonts w:ascii="Times New Roman" w:eastAsiaTheme="minorHAnsi" w:hAnsi="Times New Roman"/>
                <w:sz w:val="24"/>
                <w:szCs w:val="24"/>
              </w:rPr>
              <w:t>IV.6</w:t>
            </w:r>
            <w:r w:rsidR="007470D0" w:rsidRPr="009E4A9E">
              <w:rPr>
                <w:rFonts w:ascii="Times New Roman" w:eastAsiaTheme="minorHAnsi" w:hAnsi="Times New Roman"/>
                <w:sz w:val="24"/>
                <w:szCs w:val="24"/>
              </w:rPr>
              <w:t xml:space="preserve"> – </w:t>
            </w:r>
            <w:r w:rsidR="005071E3" w:rsidRPr="009E4A9E">
              <w:rPr>
                <w:rFonts w:ascii="Times New Roman" w:eastAsiaTheme="minorHAnsi" w:hAnsi="Times New Roman"/>
                <w:sz w:val="24"/>
                <w:szCs w:val="24"/>
              </w:rPr>
              <w:t xml:space="preserve">Definição acerca da elaboração do Projeto Executivo pela Contratante ou </w:t>
            </w:r>
            <w:r w:rsidR="005071E3" w:rsidRPr="009E4A9E">
              <w:rPr>
                <w:rFonts w:ascii="Times New Roman" w:hAnsi="Times New Roman" w:cs="Times New Roman"/>
                <w:sz w:val="24"/>
                <w:szCs w:val="24"/>
              </w:rPr>
              <w:t>autorização para que seja realizado concomitantemente com a execução da obra</w:t>
            </w:r>
            <w:r w:rsidR="009E4A9E">
              <w:rPr>
                <w:rFonts w:ascii="Times New Roman" w:hAnsi="Times New Roman" w:cs="Times New Roman"/>
                <w:sz w:val="24"/>
                <w:szCs w:val="24"/>
              </w:rPr>
              <w:t>do serviço</w:t>
            </w:r>
            <w:r w:rsidR="005071E3" w:rsidRPr="009E4A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51B9" w:rsidRDefault="00534A18" w:rsidP="007470D0">
            <w:pPr>
              <w:autoSpaceDE w:val="0"/>
              <w:autoSpaceDN w:val="0"/>
              <w:adjustRightInd w:val="0"/>
              <w:spacing w:after="0" w:line="360" w:lineRule="auto"/>
              <w:ind w:left="386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IV.7</w:t>
            </w:r>
            <w:r w:rsidR="004C51B9">
              <w:rPr>
                <w:rFonts w:ascii="Times New Roman" w:eastAsiaTheme="minorHAnsi" w:hAnsi="Times New Roman"/>
                <w:sz w:val="24"/>
                <w:szCs w:val="24"/>
              </w:rPr>
              <w:t xml:space="preserve"> – Outras disposições específicas em relação ao objeto pretendido.</w:t>
            </w:r>
          </w:p>
          <w:p w:rsidR="00A72578" w:rsidRDefault="00A72578" w:rsidP="007470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3B" w:rsidRPr="009F19B6" w:rsidRDefault="00174D3B" w:rsidP="00C67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9B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Nota explicativa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: </w:t>
            </w:r>
            <w:r w:rsidR="00E64382"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Neste item de</w:t>
            </w:r>
            <w:r w:rsidRPr="009F19B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verão ser especificadas condições essenciais em relação à contratação, como 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como forma, local e prazo de execução, garantia, </w:t>
            </w:r>
            <w:r w:rsidR="00C677F7"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etc. A</w:t>
            </w:r>
            <w:r w:rsidR="006253CA"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presentar Cronograma Físico-Financeiro. 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É necessária </w:t>
            </w:r>
            <w:r w:rsidR="00C677F7"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 definição acerca do regime de execução.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Este consiste na forma pela qual o objeto do contrato será executado, podendo ser empreitada por peço global, por preço unitário, integral ou, ainda, tarefa</w:t>
            </w:r>
            <w:r w:rsidR="00C677F7" w:rsidRPr="009F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677F7" w:rsidRPr="001713E9" w:rsidRDefault="00C677F7" w:rsidP="00C67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Ecofont_Spranq_eco_Sans" w:hAnsi="Ecofont_Spranq_eco_Sans" w:cs="Ecofont_Spranq_eco_Sans"/>
                <w:sz w:val="24"/>
                <w:szCs w:val="24"/>
              </w:rPr>
            </w:pPr>
          </w:p>
        </w:tc>
      </w:tr>
      <w:tr w:rsidR="00044372" w:rsidRPr="001713E9">
        <w:trPr>
          <w:trHeight w:val="627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044372" w:rsidRDefault="00044372" w:rsidP="008042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V – </w:t>
            </w:r>
            <w:r w:rsidR="00804296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r w:rsidR="00C4243C">
              <w:rPr>
                <w:rFonts w:ascii="Times New Roman" w:hAnsi="Times New Roman" w:cs="Times New Roman"/>
                <w:sz w:val="24"/>
                <w:szCs w:val="24"/>
              </w:rPr>
              <w:t>itérios de medição e pagamento</w:t>
            </w:r>
            <w:r w:rsidR="00804296" w:rsidRPr="001713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38A9" w:rsidRPr="00FE2670" w:rsidRDefault="009338A9" w:rsidP="009338A9">
            <w:pPr>
              <w:tabs>
                <w:tab w:val="right" w:leader="dot" w:pos="8647"/>
              </w:tabs>
              <w:spacing w:after="0" w:line="240" w:lineRule="auto"/>
              <w:jc w:val="both"/>
            </w:pPr>
            <w:r w:rsidRPr="009F19B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Nota explicativa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: As disposições básicas acerca do pagamento já se encontram definidas na minuta de contrato da PGE, devendo aqui serem inseridas outras disposições p</w:t>
            </w:r>
            <w:r w:rsidR="00DC06AC"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ertinentes ao objeto pretendido, caso seja necessário.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Deverá ainda ser definido o prazo para pagamento, que não deverá ultrapassar o prazo máximo de 30 (trinta) dias (art.40, XIV, “a”, da Lei nº 8.666/93)</w:t>
            </w:r>
            <w:r w:rsidR="00B93B3A"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 N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 caso de despesas cujos valores não ultrapassem o limite de que trata o inciso II do art. 24 da Lei 8.666</w:t>
            </w:r>
            <w:r w:rsidR="00B93B3A"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/93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, </w:t>
            </w:r>
            <w:r w:rsidR="00B93B3A"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 prazo máximo de pagamento será de 0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5 (cinco) dias úteis, contados da data da apresentação da Nota Fiscal, nos termos do art. 5º, § 3º, da </w:t>
            </w:r>
            <w:r w:rsidR="00B93B3A"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citada Lei</w:t>
            </w:r>
            <w:r w:rsidR="00B93B3A" w:rsidRPr="00B93B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9338A9" w:rsidRPr="009338A9" w:rsidRDefault="009338A9" w:rsidP="009338A9">
            <w:pPr>
              <w:autoSpaceDE w:val="0"/>
              <w:autoSpaceDN w:val="0"/>
              <w:adjustRightInd w:val="0"/>
              <w:jc w:val="both"/>
              <w:rPr>
                <w:rFonts w:ascii="Ecofont_Spranq_eco_Sans" w:hAnsi="Ecofont_Spranq_eco_Sans" w:cs="Ecofont_Spranq_eco_Sans"/>
                <w:sz w:val="24"/>
                <w:szCs w:val="24"/>
              </w:rPr>
            </w:pPr>
          </w:p>
        </w:tc>
      </w:tr>
      <w:tr w:rsidR="00F04A87" w:rsidRPr="001713E9">
        <w:trPr>
          <w:trHeight w:val="4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F04A87" w:rsidRPr="00F04A87" w:rsidRDefault="00EA3D7B" w:rsidP="00EA3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- Forma de adjudicação do objeto (por itens, por lotes, ou global);</w:t>
            </w:r>
          </w:p>
        </w:tc>
      </w:tr>
      <w:tr w:rsidR="00EA3D7B" w:rsidRPr="001713E9">
        <w:trPr>
          <w:trHeight w:val="4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EA3D7B" w:rsidRDefault="00EA3D7B" w:rsidP="00EA3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VII - Critérios de aceitação das propostas; </w:t>
            </w:r>
          </w:p>
          <w:p w:rsidR="00EA3D7B" w:rsidRPr="009F19B6" w:rsidRDefault="00EA3D7B" w:rsidP="00EA3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9F19B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Nota explicativa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: Cabe ao gestor demandante avaliar a necessidade de se exigir dos licitantes a apresentação de manuais técnicos, </w:t>
            </w:r>
            <w:r w:rsidRPr="009F19B6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folders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 catálogos, ou outros documentos descritivos do objeto, juntamente com a proposta de preços. Se entender necessário e justificável, deverá indicar precisamente qual documentação deverá ser anexada</w:t>
            </w:r>
            <w:r w:rsidRPr="009F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A3D7B" w:rsidRDefault="00EA3D7B" w:rsidP="00F04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D7B" w:rsidRPr="001713E9">
        <w:trPr>
          <w:trHeight w:val="4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EA3D7B" w:rsidRDefault="00EA3D7B" w:rsidP="00EA3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 - Exigências de habilitação jurídica específicas em relação ao objeto, se for o caso;</w:t>
            </w:r>
          </w:p>
          <w:p w:rsidR="00EA3D7B" w:rsidRPr="009F19B6" w:rsidRDefault="00C6258C" w:rsidP="00EA3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19B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Nota Explicativa</w:t>
            </w:r>
            <w:r w:rsidRPr="009F19B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:</w:t>
            </w:r>
            <w:r w:rsidRPr="009F19B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="00EA3D7B" w:rsidRPr="009F19B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As </w:t>
            </w:r>
            <w:r w:rsidRPr="009F19B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e</w:t>
            </w:r>
            <w:r w:rsidR="00DE6384"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xigências de habilitação jurídica </w:t>
            </w:r>
            <w:r w:rsidR="00EA3D7B" w:rsidRPr="009F19B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já se encontram previstas na minuta-padrão de edital da PGE. Aqui podem ser inseridas outras </w:t>
            </w:r>
            <w:r w:rsidR="00DE6384" w:rsidRPr="009F19B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exigências</w:t>
            </w:r>
            <w:r w:rsidR="00EA3D7B" w:rsidRPr="009F19B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específicas em relação objeto pretendido, caso se mostre necessário.</w:t>
            </w:r>
          </w:p>
          <w:p w:rsidR="00EA3D7B" w:rsidRDefault="00EA3D7B" w:rsidP="00EA3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793" w:rsidRPr="001713E9">
        <w:trPr>
          <w:trHeight w:val="4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BC7793" w:rsidRDefault="00BC7793" w:rsidP="00BC77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IX – Exigências de qualificação técnica devidamente justificadas, se for o caso;</w:t>
            </w:r>
          </w:p>
          <w:p w:rsidR="00BC7793" w:rsidRPr="009F19B6" w:rsidRDefault="00BC7793" w:rsidP="00BC7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F19B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Nota Explicativa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: A definição dos requisitos de qualificação técnica deverá observar as opções de preenchimento contidas na minuta padrão de edital da PGE.</w:t>
            </w:r>
          </w:p>
          <w:p w:rsidR="00BC7793" w:rsidRDefault="00BC7793" w:rsidP="00EA3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D7B" w:rsidRPr="001713E9">
        <w:trPr>
          <w:trHeight w:val="4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EA3D7B" w:rsidRDefault="00EA3D7B" w:rsidP="00F04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- Sanções específicas conforme as peculiaridades do objeto;</w:t>
            </w:r>
          </w:p>
          <w:p w:rsidR="00EA3D7B" w:rsidRPr="009F19B6" w:rsidRDefault="00C6258C" w:rsidP="00EA3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19B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Nota Explicativa: </w:t>
            </w:r>
            <w:r w:rsidR="00EA3D7B" w:rsidRPr="009F19B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As sanções já se encontram previstas na minuta-padrão de contrato da PGE. Aqui podem ser inseridas outras obrigações específicas em relação objeto pretendido, caso se mostre necessário.</w:t>
            </w:r>
          </w:p>
          <w:p w:rsidR="00C96B5B" w:rsidRDefault="00C96B5B" w:rsidP="00EA3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18" w:rsidRPr="001713E9">
        <w:trPr>
          <w:trHeight w:val="4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DE6384" w:rsidRDefault="00DE6384" w:rsidP="00BC77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A3D7B" w:rsidRPr="001713E9">
        <w:trPr>
          <w:trHeight w:val="4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EA3D7B" w:rsidRDefault="00EA3D7B" w:rsidP="00EA3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34A1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Obrigações específicas da contratante e da contratada em relação ao objeto pretendido</w:t>
            </w:r>
            <w:r w:rsidR="00324B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3D7B" w:rsidRPr="009F19B6" w:rsidRDefault="00D641AC" w:rsidP="00EA3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19B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Nota Explicativa:</w:t>
            </w:r>
            <w:r w:rsidRPr="009F19B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="00EA3D7B" w:rsidRPr="009F19B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As obrigações da contratante e da contratada já se encontram previstas na minuta-padrão de contrato da PGE. Aqui podem ser inseridas outras obrigações específicas em relação objeto pretendido, caso se mostre necessário.</w:t>
            </w:r>
          </w:p>
          <w:p w:rsidR="00EA3D7B" w:rsidRDefault="00EA3D7B" w:rsidP="00EA3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D7B" w:rsidRPr="001713E9">
        <w:trPr>
          <w:trHeight w:val="4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734EA9" w:rsidRPr="00734EA9" w:rsidRDefault="00B72633" w:rsidP="00734EA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A9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="00C6258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34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79E">
              <w:rPr>
                <w:rFonts w:ascii="Times New Roman" w:hAnsi="Times New Roman" w:cs="Times New Roman"/>
                <w:sz w:val="24"/>
                <w:szCs w:val="24"/>
              </w:rPr>
              <w:t>– Definição sobre</w:t>
            </w:r>
            <w:r w:rsidR="00734EA9" w:rsidRPr="00296038">
              <w:rPr>
                <w:rFonts w:ascii="Times New Roman" w:hAnsi="Times New Roman" w:cs="Times New Roman"/>
                <w:sz w:val="24"/>
                <w:szCs w:val="24"/>
              </w:rPr>
              <w:t xml:space="preserve"> a necessidade </w:t>
            </w:r>
            <w:r w:rsidR="00296038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734EA9" w:rsidRPr="00296038">
              <w:rPr>
                <w:rFonts w:ascii="Times New Roman" w:hAnsi="Times New Roman" w:cs="Times New Roman"/>
                <w:sz w:val="24"/>
                <w:szCs w:val="24"/>
              </w:rPr>
              <w:t>vistoria ou visita técnica obrigatória.</w:t>
            </w:r>
          </w:p>
          <w:p w:rsidR="00B72633" w:rsidRPr="009F19B6" w:rsidRDefault="00B72633" w:rsidP="00B7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9B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Nota Explicativa</w:t>
            </w:r>
            <w:r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: </w:t>
            </w:r>
            <w:r w:rsidR="00296038" w:rsidRPr="009F1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 minuta padrão de edital da PGE possui três opções a serem definidas quanto à vistoria ou visita técnica no local da execução dos serviços: a) facultativa; b) obrigatória; c) não se aplica vistoria ao caso. A vistoria obrigatória é excepcional e deverá ser rigorosamente justificada por aspectos técnicos, sob pena de caracterizar restrição indevida à competitividade.</w:t>
            </w:r>
          </w:p>
          <w:p w:rsidR="00B72633" w:rsidRDefault="00B72633" w:rsidP="00B7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633" w:rsidRPr="001713E9">
        <w:trPr>
          <w:trHeight w:val="4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B72633" w:rsidRPr="00D72A88" w:rsidRDefault="00B72633" w:rsidP="00142C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A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96038" w:rsidRPr="00D72A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258C" w:rsidRPr="00D72A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2A88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D72A88" w:rsidRPr="00D72A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2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2A88" w:rsidRPr="00D72A88">
              <w:rPr>
                <w:rFonts w:ascii="Times New Roman" w:hAnsi="Times New Roman" w:cs="Times New Roman"/>
                <w:sz w:val="24"/>
                <w:szCs w:val="24"/>
              </w:rPr>
              <w:t xml:space="preserve">Procedimentos de fiscalização e gerenciamento do contrato; </w:t>
            </w:r>
          </w:p>
          <w:p w:rsidR="00D72A88" w:rsidRPr="009F19B6" w:rsidRDefault="00D72A88" w:rsidP="00D72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19B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Nota Explicativa:</w:t>
            </w:r>
            <w:r w:rsidRPr="009F19B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Tais procedimentos já se encontram previstas na minuta-padrão de contrato da PGE. Aqui podem ser inseridas outras rotinas específicas em relação objeto pretendido, caso se mostre necessário.</w:t>
            </w:r>
          </w:p>
          <w:p w:rsidR="00C6258C" w:rsidRPr="00C96B5B" w:rsidRDefault="00C6258C" w:rsidP="0032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07072E" w:rsidRPr="001713E9">
        <w:trPr>
          <w:trHeight w:val="4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07072E" w:rsidRPr="00BD33B6" w:rsidRDefault="0007072E" w:rsidP="00FD25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3B6">
              <w:rPr>
                <w:rFonts w:ascii="Times New Roman" w:hAnsi="Times New Roman" w:cs="Times New Roman"/>
                <w:sz w:val="24"/>
                <w:szCs w:val="24"/>
              </w:rPr>
              <w:t>XIV – Disposições sobre possibilidade de subcontratação do obj</w:t>
            </w:r>
            <w:r w:rsidR="00FD2538" w:rsidRPr="00BD33B6">
              <w:rPr>
                <w:rFonts w:ascii="Times New Roman" w:hAnsi="Times New Roman" w:cs="Times New Roman"/>
                <w:sz w:val="24"/>
                <w:szCs w:val="24"/>
              </w:rPr>
              <w:t>eto e seus limites e condições, juntamente com justificativa técnica para o percentual eventualmente adotado.</w:t>
            </w:r>
          </w:p>
        </w:tc>
      </w:tr>
      <w:tr w:rsidR="00BD33B6" w:rsidRPr="001713E9">
        <w:trPr>
          <w:trHeight w:val="478"/>
          <w:tblCellSpacing w:w="0" w:type="dxa"/>
        </w:trPr>
        <w:tc>
          <w:tcPr>
            <w:tcW w:w="8832" w:type="dxa"/>
            <w:tcBorders>
              <w:top w:val="outset" w:sz="6" w:space="0" w:color="auto"/>
              <w:bottom w:val="outset" w:sz="6" w:space="0" w:color="auto"/>
            </w:tcBorders>
          </w:tcPr>
          <w:p w:rsidR="00BD33B6" w:rsidRPr="00DC2FE8" w:rsidRDefault="00BD33B6" w:rsidP="00BD33B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C2FE8">
              <w:rPr>
                <w:rFonts w:ascii="Times New Roman" w:hAnsi="Times New Roman" w:cs="Times New Roman"/>
                <w:sz w:val="24"/>
                <w:szCs w:val="24"/>
              </w:rPr>
              <w:t>XV - Documentos referentes à responsabilidade técnica (ART/RRT referentes à totalidade das peças técnicas produzidas por profissional habilitado, consoante previsão do art. 10 do Decreto n. 7983/2013).</w:t>
            </w:r>
          </w:p>
          <w:p w:rsidR="00BD33B6" w:rsidRPr="00BD33B6" w:rsidRDefault="00BD33B6" w:rsidP="00FD25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372" w:rsidRDefault="00044372" w:rsidP="009F19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044372" w:rsidSect="00037EE0">
      <w:headerReference w:type="default" r:id="rId8"/>
      <w:pgSz w:w="11906" w:h="16838"/>
      <w:pgMar w:top="417" w:right="1701" w:bottom="1417" w:left="1701" w:header="43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586" w:rsidRDefault="00404586" w:rsidP="00527A77">
      <w:pPr>
        <w:spacing w:after="0" w:line="240" w:lineRule="auto"/>
      </w:pPr>
      <w:r>
        <w:separator/>
      </w:r>
    </w:p>
  </w:endnote>
  <w:endnote w:type="continuationSeparator" w:id="0">
    <w:p w:rsidR="00404586" w:rsidRDefault="00404586" w:rsidP="0052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586" w:rsidRDefault="00404586" w:rsidP="00527A77">
      <w:pPr>
        <w:spacing w:after="0" w:line="240" w:lineRule="auto"/>
      </w:pPr>
      <w:r>
        <w:separator/>
      </w:r>
    </w:p>
  </w:footnote>
  <w:footnote w:type="continuationSeparator" w:id="0">
    <w:p w:rsidR="00404586" w:rsidRDefault="00404586" w:rsidP="00527A77">
      <w:pPr>
        <w:spacing w:after="0" w:line="240" w:lineRule="auto"/>
      </w:pPr>
      <w:r>
        <w:continuationSeparator/>
      </w:r>
    </w:p>
  </w:footnote>
  <w:footnote w:id="1">
    <w:p w:rsidR="00D965B2" w:rsidRDefault="00D965B2">
      <w:pPr>
        <w:pStyle w:val="Textodenotaderodap"/>
      </w:pPr>
      <w:r>
        <w:rPr>
          <w:rStyle w:val="Refdenotaderodap"/>
        </w:rPr>
        <w:footnoteRef/>
      </w:r>
      <w:r>
        <w:t xml:space="preserve"> A presente lista não deverá ser utilizada para contratações referentes a serviços contínuos com dedicação exclusiva de mão de obra. Nesses casos, deverão ser observadas as orientações para elaboração de Termo de Referência da Instrução Normativa nº 05/2017 – SEG</w:t>
      </w:r>
      <w:r w:rsidR="001B47B5">
        <w:t>E</w:t>
      </w:r>
      <w:r>
        <w:t>S/MP</w:t>
      </w:r>
      <w:r w:rsidR="001B47B5">
        <w:t>D</w:t>
      </w:r>
      <w:r>
        <w:t xml:space="preserve">G.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1F7" w:rsidRDefault="00EA41F7" w:rsidP="00527A77">
    <w:pPr>
      <w:pStyle w:val="Cabealho"/>
      <w:tabs>
        <w:tab w:val="left" w:pos="2400"/>
      </w:tabs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2348865</wp:posOffset>
          </wp:positionH>
          <wp:positionV relativeFrom="paragraph">
            <wp:posOffset>-182880</wp:posOffset>
          </wp:positionV>
          <wp:extent cx="636270" cy="581660"/>
          <wp:effectExtent l="19050" t="0" r="0" b="0"/>
          <wp:wrapSquare wrapText="lef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581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A41F7" w:rsidRDefault="00EA41F7" w:rsidP="00527A77">
    <w:pPr>
      <w:pStyle w:val="Cabealho"/>
      <w:tabs>
        <w:tab w:val="left" w:pos="2400"/>
      </w:tabs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</w:p>
  <w:p w:rsidR="00EA41F7" w:rsidRDefault="00EA41F7" w:rsidP="00527A77">
    <w:pPr>
      <w:pStyle w:val="Cabealho"/>
      <w:tabs>
        <w:tab w:val="left" w:pos="2400"/>
      </w:tabs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</w:p>
  <w:p w:rsidR="00EA41F7" w:rsidRPr="00527A77" w:rsidRDefault="00EA41F7" w:rsidP="00527A77">
    <w:pPr>
      <w:pStyle w:val="Cabealho"/>
      <w:tabs>
        <w:tab w:val="left" w:pos="2400"/>
      </w:tabs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527A77">
      <w:rPr>
        <w:rFonts w:ascii="Times New Roman" w:hAnsi="Times New Roman" w:cs="Times New Roman"/>
        <w:b/>
        <w:bCs/>
        <w:sz w:val="20"/>
        <w:szCs w:val="20"/>
      </w:rPr>
      <w:t>ESTADO DO PIAUÍ</w:t>
    </w:r>
  </w:p>
  <w:p w:rsidR="00EA41F7" w:rsidRPr="00527A77" w:rsidRDefault="00EA41F7" w:rsidP="00527A77">
    <w:pPr>
      <w:tabs>
        <w:tab w:val="left" w:pos="1418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664D9"/>
    <w:multiLevelType w:val="hybridMultilevel"/>
    <w:tmpl w:val="3DD217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E90"/>
    <w:rsid w:val="00001D34"/>
    <w:rsid w:val="0000607B"/>
    <w:rsid w:val="000131BA"/>
    <w:rsid w:val="000165D2"/>
    <w:rsid w:val="000362E1"/>
    <w:rsid w:val="00037EE0"/>
    <w:rsid w:val="00044372"/>
    <w:rsid w:val="00044EB1"/>
    <w:rsid w:val="000526F4"/>
    <w:rsid w:val="00056745"/>
    <w:rsid w:val="00065400"/>
    <w:rsid w:val="000662AC"/>
    <w:rsid w:val="0007072E"/>
    <w:rsid w:val="00072C61"/>
    <w:rsid w:val="00073E52"/>
    <w:rsid w:val="00080318"/>
    <w:rsid w:val="00081B90"/>
    <w:rsid w:val="0009267A"/>
    <w:rsid w:val="00093F05"/>
    <w:rsid w:val="000A124C"/>
    <w:rsid w:val="000A58A7"/>
    <w:rsid w:val="000B0BA3"/>
    <w:rsid w:val="000B1629"/>
    <w:rsid w:val="000B395F"/>
    <w:rsid w:val="000B3DBA"/>
    <w:rsid w:val="000C1511"/>
    <w:rsid w:val="000D353D"/>
    <w:rsid w:val="000E375D"/>
    <w:rsid w:val="000E3856"/>
    <w:rsid w:val="000E46A0"/>
    <w:rsid w:val="000E7337"/>
    <w:rsid w:val="000E747F"/>
    <w:rsid w:val="000F5193"/>
    <w:rsid w:val="000F7FEA"/>
    <w:rsid w:val="00101D1A"/>
    <w:rsid w:val="001044A0"/>
    <w:rsid w:val="00112562"/>
    <w:rsid w:val="00117C3C"/>
    <w:rsid w:val="00120BDB"/>
    <w:rsid w:val="00122722"/>
    <w:rsid w:val="00133610"/>
    <w:rsid w:val="00134C4D"/>
    <w:rsid w:val="00141697"/>
    <w:rsid w:val="00141A29"/>
    <w:rsid w:val="0014200F"/>
    <w:rsid w:val="00142CB9"/>
    <w:rsid w:val="00150948"/>
    <w:rsid w:val="00152E6A"/>
    <w:rsid w:val="001531BF"/>
    <w:rsid w:val="0015402E"/>
    <w:rsid w:val="00155220"/>
    <w:rsid w:val="00155974"/>
    <w:rsid w:val="00155B8B"/>
    <w:rsid w:val="00165F50"/>
    <w:rsid w:val="001713E9"/>
    <w:rsid w:val="00171D14"/>
    <w:rsid w:val="00174D3B"/>
    <w:rsid w:val="00175269"/>
    <w:rsid w:val="00177F83"/>
    <w:rsid w:val="00182603"/>
    <w:rsid w:val="00184333"/>
    <w:rsid w:val="001872E8"/>
    <w:rsid w:val="00190E2E"/>
    <w:rsid w:val="001922B6"/>
    <w:rsid w:val="001A2AB4"/>
    <w:rsid w:val="001B47B5"/>
    <w:rsid w:val="001B7F84"/>
    <w:rsid w:val="001C2809"/>
    <w:rsid w:val="001C364C"/>
    <w:rsid w:val="001C59DF"/>
    <w:rsid w:val="001C7642"/>
    <w:rsid w:val="001D5D95"/>
    <w:rsid w:val="001F084C"/>
    <w:rsid w:val="001F2066"/>
    <w:rsid w:val="001F685C"/>
    <w:rsid w:val="00202D87"/>
    <w:rsid w:val="00204041"/>
    <w:rsid w:val="00204BE2"/>
    <w:rsid w:val="00207175"/>
    <w:rsid w:val="00207633"/>
    <w:rsid w:val="002249CB"/>
    <w:rsid w:val="002273FF"/>
    <w:rsid w:val="002312BB"/>
    <w:rsid w:val="00237A55"/>
    <w:rsid w:val="00247274"/>
    <w:rsid w:val="00252609"/>
    <w:rsid w:val="0025345E"/>
    <w:rsid w:val="00280BB6"/>
    <w:rsid w:val="00281446"/>
    <w:rsid w:val="00285ABD"/>
    <w:rsid w:val="00286FB2"/>
    <w:rsid w:val="00290DC4"/>
    <w:rsid w:val="00293267"/>
    <w:rsid w:val="00296038"/>
    <w:rsid w:val="002A341B"/>
    <w:rsid w:val="002B02FB"/>
    <w:rsid w:val="002B16A5"/>
    <w:rsid w:val="002B391A"/>
    <w:rsid w:val="002B7375"/>
    <w:rsid w:val="002B73B4"/>
    <w:rsid w:val="002B79DE"/>
    <w:rsid w:val="002C7601"/>
    <w:rsid w:val="002D296F"/>
    <w:rsid w:val="002D3770"/>
    <w:rsid w:val="002E5269"/>
    <w:rsid w:val="00300DA6"/>
    <w:rsid w:val="00301110"/>
    <w:rsid w:val="00306E44"/>
    <w:rsid w:val="00307BD2"/>
    <w:rsid w:val="00310A7F"/>
    <w:rsid w:val="00310CD2"/>
    <w:rsid w:val="00310F93"/>
    <w:rsid w:val="003156F1"/>
    <w:rsid w:val="003210DE"/>
    <w:rsid w:val="003226A3"/>
    <w:rsid w:val="00323A00"/>
    <w:rsid w:val="00323A3C"/>
    <w:rsid w:val="00324B23"/>
    <w:rsid w:val="00324B57"/>
    <w:rsid w:val="003252EE"/>
    <w:rsid w:val="00327D4E"/>
    <w:rsid w:val="00330232"/>
    <w:rsid w:val="00331C98"/>
    <w:rsid w:val="003337B6"/>
    <w:rsid w:val="0033420D"/>
    <w:rsid w:val="00344794"/>
    <w:rsid w:val="00351014"/>
    <w:rsid w:val="00361FA7"/>
    <w:rsid w:val="00366366"/>
    <w:rsid w:val="00366423"/>
    <w:rsid w:val="003708E3"/>
    <w:rsid w:val="00371298"/>
    <w:rsid w:val="00373AFB"/>
    <w:rsid w:val="003808D9"/>
    <w:rsid w:val="0038332F"/>
    <w:rsid w:val="003912D3"/>
    <w:rsid w:val="00391A93"/>
    <w:rsid w:val="003A0905"/>
    <w:rsid w:val="003A09A7"/>
    <w:rsid w:val="003A2B3B"/>
    <w:rsid w:val="003B0926"/>
    <w:rsid w:val="003B5C6C"/>
    <w:rsid w:val="003C5D0B"/>
    <w:rsid w:val="003C6682"/>
    <w:rsid w:val="003C6728"/>
    <w:rsid w:val="003E0684"/>
    <w:rsid w:val="003E46AC"/>
    <w:rsid w:val="003E5FE2"/>
    <w:rsid w:val="003E764D"/>
    <w:rsid w:val="003F1B64"/>
    <w:rsid w:val="003F462C"/>
    <w:rsid w:val="00402750"/>
    <w:rsid w:val="00404586"/>
    <w:rsid w:val="0040479E"/>
    <w:rsid w:val="00414BB3"/>
    <w:rsid w:val="00415D01"/>
    <w:rsid w:val="0042578A"/>
    <w:rsid w:val="0042659A"/>
    <w:rsid w:val="004301D4"/>
    <w:rsid w:val="00435167"/>
    <w:rsid w:val="0044421E"/>
    <w:rsid w:val="0044500A"/>
    <w:rsid w:val="00452D1E"/>
    <w:rsid w:val="00453E6A"/>
    <w:rsid w:val="004561DC"/>
    <w:rsid w:val="00456D3A"/>
    <w:rsid w:val="00464486"/>
    <w:rsid w:val="00464638"/>
    <w:rsid w:val="004706F3"/>
    <w:rsid w:val="00470DA2"/>
    <w:rsid w:val="00471138"/>
    <w:rsid w:val="00475A81"/>
    <w:rsid w:val="004858F7"/>
    <w:rsid w:val="00486D33"/>
    <w:rsid w:val="00490114"/>
    <w:rsid w:val="004904EB"/>
    <w:rsid w:val="004A71E4"/>
    <w:rsid w:val="004A78EB"/>
    <w:rsid w:val="004B08EC"/>
    <w:rsid w:val="004C0236"/>
    <w:rsid w:val="004C1183"/>
    <w:rsid w:val="004C12ED"/>
    <w:rsid w:val="004C35E1"/>
    <w:rsid w:val="004C51B9"/>
    <w:rsid w:val="004D4398"/>
    <w:rsid w:val="004D6D77"/>
    <w:rsid w:val="004D7A92"/>
    <w:rsid w:val="004E13C8"/>
    <w:rsid w:val="004F020C"/>
    <w:rsid w:val="004F0F22"/>
    <w:rsid w:val="004F2735"/>
    <w:rsid w:val="004F4F0F"/>
    <w:rsid w:val="004F6876"/>
    <w:rsid w:val="00503FB7"/>
    <w:rsid w:val="005071E3"/>
    <w:rsid w:val="005133DD"/>
    <w:rsid w:val="00523446"/>
    <w:rsid w:val="005279E5"/>
    <w:rsid w:val="00527A77"/>
    <w:rsid w:val="00531140"/>
    <w:rsid w:val="00534A18"/>
    <w:rsid w:val="00536C25"/>
    <w:rsid w:val="0055684C"/>
    <w:rsid w:val="005605E0"/>
    <w:rsid w:val="00566C33"/>
    <w:rsid w:val="00566C53"/>
    <w:rsid w:val="00571701"/>
    <w:rsid w:val="00574306"/>
    <w:rsid w:val="00581D3F"/>
    <w:rsid w:val="005862B5"/>
    <w:rsid w:val="005A582D"/>
    <w:rsid w:val="005A5AF5"/>
    <w:rsid w:val="005B019C"/>
    <w:rsid w:val="005B27B6"/>
    <w:rsid w:val="005B2C7C"/>
    <w:rsid w:val="005B663C"/>
    <w:rsid w:val="005B6BC3"/>
    <w:rsid w:val="005C0000"/>
    <w:rsid w:val="005C239A"/>
    <w:rsid w:val="005C24E3"/>
    <w:rsid w:val="005D7AF9"/>
    <w:rsid w:val="005E0C3F"/>
    <w:rsid w:val="005E54A6"/>
    <w:rsid w:val="005E7194"/>
    <w:rsid w:val="00602DC7"/>
    <w:rsid w:val="00605F2A"/>
    <w:rsid w:val="00611345"/>
    <w:rsid w:val="00611AA4"/>
    <w:rsid w:val="00611D35"/>
    <w:rsid w:val="006219E2"/>
    <w:rsid w:val="00623E53"/>
    <w:rsid w:val="006253CA"/>
    <w:rsid w:val="00633205"/>
    <w:rsid w:val="00641C16"/>
    <w:rsid w:val="00644B06"/>
    <w:rsid w:val="00652783"/>
    <w:rsid w:val="0065290A"/>
    <w:rsid w:val="006628B6"/>
    <w:rsid w:val="00665F46"/>
    <w:rsid w:val="00666D0F"/>
    <w:rsid w:val="0067168B"/>
    <w:rsid w:val="00675338"/>
    <w:rsid w:val="00676784"/>
    <w:rsid w:val="00677BFA"/>
    <w:rsid w:val="00684852"/>
    <w:rsid w:val="00687BF2"/>
    <w:rsid w:val="0069267C"/>
    <w:rsid w:val="006928C9"/>
    <w:rsid w:val="006930C3"/>
    <w:rsid w:val="0069427E"/>
    <w:rsid w:val="0069520E"/>
    <w:rsid w:val="006A67AE"/>
    <w:rsid w:val="006B116D"/>
    <w:rsid w:val="006B2B58"/>
    <w:rsid w:val="006B5029"/>
    <w:rsid w:val="006B74A6"/>
    <w:rsid w:val="006B7B43"/>
    <w:rsid w:val="006C049E"/>
    <w:rsid w:val="006C163E"/>
    <w:rsid w:val="006C2572"/>
    <w:rsid w:val="00700F3F"/>
    <w:rsid w:val="0071512F"/>
    <w:rsid w:val="00722813"/>
    <w:rsid w:val="0072344D"/>
    <w:rsid w:val="00733F2D"/>
    <w:rsid w:val="00734EA9"/>
    <w:rsid w:val="007415BF"/>
    <w:rsid w:val="007458B6"/>
    <w:rsid w:val="007470D0"/>
    <w:rsid w:val="00756FE6"/>
    <w:rsid w:val="0076140E"/>
    <w:rsid w:val="0076723E"/>
    <w:rsid w:val="00772134"/>
    <w:rsid w:val="007744EF"/>
    <w:rsid w:val="00781D11"/>
    <w:rsid w:val="00783D54"/>
    <w:rsid w:val="00783D78"/>
    <w:rsid w:val="00784500"/>
    <w:rsid w:val="0079476A"/>
    <w:rsid w:val="007951A1"/>
    <w:rsid w:val="007971EB"/>
    <w:rsid w:val="007A0FFC"/>
    <w:rsid w:val="007A19CB"/>
    <w:rsid w:val="007A51CD"/>
    <w:rsid w:val="007A7850"/>
    <w:rsid w:val="007B0BF8"/>
    <w:rsid w:val="007E0495"/>
    <w:rsid w:val="007E268D"/>
    <w:rsid w:val="007E3118"/>
    <w:rsid w:val="007E7477"/>
    <w:rsid w:val="008002E0"/>
    <w:rsid w:val="0080351F"/>
    <w:rsid w:val="00804296"/>
    <w:rsid w:val="008116CD"/>
    <w:rsid w:val="00815468"/>
    <w:rsid w:val="0082250A"/>
    <w:rsid w:val="00824C51"/>
    <w:rsid w:val="008317DF"/>
    <w:rsid w:val="00836238"/>
    <w:rsid w:val="00837183"/>
    <w:rsid w:val="00844FA9"/>
    <w:rsid w:val="008547B4"/>
    <w:rsid w:val="0086710D"/>
    <w:rsid w:val="00867204"/>
    <w:rsid w:val="0087048E"/>
    <w:rsid w:val="00872A8C"/>
    <w:rsid w:val="00873AC5"/>
    <w:rsid w:val="00875302"/>
    <w:rsid w:val="008763EC"/>
    <w:rsid w:val="0088349F"/>
    <w:rsid w:val="00883C94"/>
    <w:rsid w:val="00886BAA"/>
    <w:rsid w:val="0088754D"/>
    <w:rsid w:val="00896515"/>
    <w:rsid w:val="00896B55"/>
    <w:rsid w:val="00897040"/>
    <w:rsid w:val="008A3C72"/>
    <w:rsid w:val="008A7E0F"/>
    <w:rsid w:val="008B27AF"/>
    <w:rsid w:val="008B28D1"/>
    <w:rsid w:val="008B4A5A"/>
    <w:rsid w:val="008C21BF"/>
    <w:rsid w:val="008C2DE4"/>
    <w:rsid w:val="008C3D8B"/>
    <w:rsid w:val="008C495E"/>
    <w:rsid w:val="008C69E8"/>
    <w:rsid w:val="008D32D1"/>
    <w:rsid w:val="008D5F48"/>
    <w:rsid w:val="008D7A73"/>
    <w:rsid w:val="008E11E9"/>
    <w:rsid w:val="008F1D6F"/>
    <w:rsid w:val="008F250A"/>
    <w:rsid w:val="008F48DB"/>
    <w:rsid w:val="00903535"/>
    <w:rsid w:val="00905D95"/>
    <w:rsid w:val="00912064"/>
    <w:rsid w:val="009125ED"/>
    <w:rsid w:val="00915EC2"/>
    <w:rsid w:val="009160A8"/>
    <w:rsid w:val="0091637F"/>
    <w:rsid w:val="00917674"/>
    <w:rsid w:val="009338A9"/>
    <w:rsid w:val="00936109"/>
    <w:rsid w:val="009369B5"/>
    <w:rsid w:val="00937569"/>
    <w:rsid w:val="009375D9"/>
    <w:rsid w:val="00941F1D"/>
    <w:rsid w:val="0094301D"/>
    <w:rsid w:val="00947DBB"/>
    <w:rsid w:val="00953EDC"/>
    <w:rsid w:val="00954F44"/>
    <w:rsid w:val="00957D73"/>
    <w:rsid w:val="009601E6"/>
    <w:rsid w:val="00963E2C"/>
    <w:rsid w:val="00965AC7"/>
    <w:rsid w:val="00970187"/>
    <w:rsid w:val="00976141"/>
    <w:rsid w:val="00985EDD"/>
    <w:rsid w:val="0098731F"/>
    <w:rsid w:val="009A2A53"/>
    <w:rsid w:val="009A3C71"/>
    <w:rsid w:val="009B0C6B"/>
    <w:rsid w:val="009B285E"/>
    <w:rsid w:val="009B44C5"/>
    <w:rsid w:val="009B5F65"/>
    <w:rsid w:val="009B6B27"/>
    <w:rsid w:val="009C1C91"/>
    <w:rsid w:val="009C26CE"/>
    <w:rsid w:val="009C57E9"/>
    <w:rsid w:val="009D0970"/>
    <w:rsid w:val="009D5D8B"/>
    <w:rsid w:val="009D5E51"/>
    <w:rsid w:val="009E1CB7"/>
    <w:rsid w:val="009E1F8C"/>
    <w:rsid w:val="009E4A9E"/>
    <w:rsid w:val="009F19B6"/>
    <w:rsid w:val="009F1ABF"/>
    <w:rsid w:val="00A0004E"/>
    <w:rsid w:val="00A01832"/>
    <w:rsid w:val="00A06C19"/>
    <w:rsid w:val="00A10CE5"/>
    <w:rsid w:val="00A153AC"/>
    <w:rsid w:val="00A15F8F"/>
    <w:rsid w:val="00A27875"/>
    <w:rsid w:val="00A279BA"/>
    <w:rsid w:val="00A33E0E"/>
    <w:rsid w:val="00A37272"/>
    <w:rsid w:val="00A37C18"/>
    <w:rsid w:val="00A42FFB"/>
    <w:rsid w:val="00A450E8"/>
    <w:rsid w:val="00A4643A"/>
    <w:rsid w:val="00A46FC5"/>
    <w:rsid w:val="00A475E2"/>
    <w:rsid w:val="00A50B32"/>
    <w:rsid w:val="00A52CBA"/>
    <w:rsid w:val="00A61193"/>
    <w:rsid w:val="00A704E6"/>
    <w:rsid w:val="00A72578"/>
    <w:rsid w:val="00A7536C"/>
    <w:rsid w:val="00A807FA"/>
    <w:rsid w:val="00A85FEA"/>
    <w:rsid w:val="00A874E5"/>
    <w:rsid w:val="00A93090"/>
    <w:rsid w:val="00A95EAD"/>
    <w:rsid w:val="00AA6940"/>
    <w:rsid w:val="00AA72D5"/>
    <w:rsid w:val="00AB66B0"/>
    <w:rsid w:val="00AB6962"/>
    <w:rsid w:val="00AB6BD2"/>
    <w:rsid w:val="00AC5F6B"/>
    <w:rsid w:val="00AD0084"/>
    <w:rsid w:val="00AD47D8"/>
    <w:rsid w:val="00AE010D"/>
    <w:rsid w:val="00AE65F4"/>
    <w:rsid w:val="00AE717B"/>
    <w:rsid w:val="00AE7DC5"/>
    <w:rsid w:val="00AE7ED3"/>
    <w:rsid w:val="00AF0A98"/>
    <w:rsid w:val="00B00D3F"/>
    <w:rsid w:val="00B03FF6"/>
    <w:rsid w:val="00B04E86"/>
    <w:rsid w:val="00B10393"/>
    <w:rsid w:val="00B10A5C"/>
    <w:rsid w:val="00B115CE"/>
    <w:rsid w:val="00B117F4"/>
    <w:rsid w:val="00B14E58"/>
    <w:rsid w:val="00B14E6F"/>
    <w:rsid w:val="00B339C2"/>
    <w:rsid w:val="00B34E71"/>
    <w:rsid w:val="00B41F91"/>
    <w:rsid w:val="00B6384E"/>
    <w:rsid w:val="00B65C1B"/>
    <w:rsid w:val="00B67337"/>
    <w:rsid w:val="00B7015A"/>
    <w:rsid w:val="00B71888"/>
    <w:rsid w:val="00B72633"/>
    <w:rsid w:val="00B74F83"/>
    <w:rsid w:val="00B7752B"/>
    <w:rsid w:val="00B77BBB"/>
    <w:rsid w:val="00B90771"/>
    <w:rsid w:val="00B93B3A"/>
    <w:rsid w:val="00B97EB3"/>
    <w:rsid w:val="00BA2F8D"/>
    <w:rsid w:val="00BA5149"/>
    <w:rsid w:val="00BA5557"/>
    <w:rsid w:val="00BA59C6"/>
    <w:rsid w:val="00BB03B8"/>
    <w:rsid w:val="00BB18C1"/>
    <w:rsid w:val="00BB386F"/>
    <w:rsid w:val="00BB5758"/>
    <w:rsid w:val="00BC0728"/>
    <w:rsid w:val="00BC20DF"/>
    <w:rsid w:val="00BC4DF1"/>
    <w:rsid w:val="00BC6647"/>
    <w:rsid w:val="00BC67C6"/>
    <w:rsid w:val="00BC733F"/>
    <w:rsid w:val="00BC7793"/>
    <w:rsid w:val="00BD1480"/>
    <w:rsid w:val="00BD204A"/>
    <w:rsid w:val="00BD33B6"/>
    <w:rsid w:val="00BD61CE"/>
    <w:rsid w:val="00BD7778"/>
    <w:rsid w:val="00BE0010"/>
    <w:rsid w:val="00BE18AE"/>
    <w:rsid w:val="00BF0843"/>
    <w:rsid w:val="00BF38E8"/>
    <w:rsid w:val="00BF4704"/>
    <w:rsid w:val="00C013B7"/>
    <w:rsid w:val="00C05994"/>
    <w:rsid w:val="00C07FF1"/>
    <w:rsid w:val="00C13C0E"/>
    <w:rsid w:val="00C14BED"/>
    <w:rsid w:val="00C20339"/>
    <w:rsid w:val="00C2615D"/>
    <w:rsid w:val="00C27E4D"/>
    <w:rsid w:val="00C31196"/>
    <w:rsid w:val="00C4243C"/>
    <w:rsid w:val="00C424CE"/>
    <w:rsid w:val="00C44FEC"/>
    <w:rsid w:val="00C463BB"/>
    <w:rsid w:val="00C4758A"/>
    <w:rsid w:val="00C51F03"/>
    <w:rsid w:val="00C52B82"/>
    <w:rsid w:val="00C53F61"/>
    <w:rsid w:val="00C6258C"/>
    <w:rsid w:val="00C677F7"/>
    <w:rsid w:val="00C72CB2"/>
    <w:rsid w:val="00C72FEA"/>
    <w:rsid w:val="00C80568"/>
    <w:rsid w:val="00C80D85"/>
    <w:rsid w:val="00C81E5F"/>
    <w:rsid w:val="00C87231"/>
    <w:rsid w:val="00C96B5B"/>
    <w:rsid w:val="00CA072E"/>
    <w:rsid w:val="00CA147F"/>
    <w:rsid w:val="00CA1A85"/>
    <w:rsid w:val="00CA3CDF"/>
    <w:rsid w:val="00CA6554"/>
    <w:rsid w:val="00CA6E45"/>
    <w:rsid w:val="00CB229F"/>
    <w:rsid w:val="00CB69E6"/>
    <w:rsid w:val="00CC256D"/>
    <w:rsid w:val="00CD3344"/>
    <w:rsid w:val="00CD334A"/>
    <w:rsid w:val="00CE33F6"/>
    <w:rsid w:val="00CF1166"/>
    <w:rsid w:val="00CF4F6B"/>
    <w:rsid w:val="00CF5985"/>
    <w:rsid w:val="00D04286"/>
    <w:rsid w:val="00D05FD2"/>
    <w:rsid w:val="00D06F89"/>
    <w:rsid w:val="00D12DD6"/>
    <w:rsid w:val="00D2459E"/>
    <w:rsid w:val="00D278CD"/>
    <w:rsid w:val="00D459C7"/>
    <w:rsid w:val="00D46E90"/>
    <w:rsid w:val="00D47F14"/>
    <w:rsid w:val="00D505D1"/>
    <w:rsid w:val="00D53107"/>
    <w:rsid w:val="00D631A9"/>
    <w:rsid w:val="00D641AC"/>
    <w:rsid w:val="00D65FFF"/>
    <w:rsid w:val="00D6723C"/>
    <w:rsid w:val="00D72A88"/>
    <w:rsid w:val="00D731F6"/>
    <w:rsid w:val="00D74C25"/>
    <w:rsid w:val="00D8520F"/>
    <w:rsid w:val="00D85C2B"/>
    <w:rsid w:val="00D933C7"/>
    <w:rsid w:val="00D94E53"/>
    <w:rsid w:val="00D965B2"/>
    <w:rsid w:val="00DA0B60"/>
    <w:rsid w:val="00DA1B97"/>
    <w:rsid w:val="00DA2685"/>
    <w:rsid w:val="00DA3A33"/>
    <w:rsid w:val="00DA642D"/>
    <w:rsid w:val="00DB36BB"/>
    <w:rsid w:val="00DB6C63"/>
    <w:rsid w:val="00DB7BDB"/>
    <w:rsid w:val="00DC058E"/>
    <w:rsid w:val="00DC06AC"/>
    <w:rsid w:val="00DC1DFA"/>
    <w:rsid w:val="00DC2FE8"/>
    <w:rsid w:val="00DC31B7"/>
    <w:rsid w:val="00DC5171"/>
    <w:rsid w:val="00DC710B"/>
    <w:rsid w:val="00DD274F"/>
    <w:rsid w:val="00DD4368"/>
    <w:rsid w:val="00DE24BC"/>
    <w:rsid w:val="00DE47D5"/>
    <w:rsid w:val="00DE6384"/>
    <w:rsid w:val="00DE759F"/>
    <w:rsid w:val="00DE7C36"/>
    <w:rsid w:val="00E02991"/>
    <w:rsid w:val="00E02AB5"/>
    <w:rsid w:val="00E04025"/>
    <w:rsid w:val="00E05172"/>
    <w:rsid w:val="00E078E5"/>
    <w:rsid w:val="00E13F7A"/>
    <w:rsid w:val="00E1504F"/>
    <w:rsid w:val="00E16608"/>
    <w:rsid w:val="00E22E9B"/>
    <w:rsid w:val="00E243AE"/>
    <w:rsid w:val="00E26AFA"/>
    <w:rsid w:val="00E26C72"/>
    <w:rsid w:val="00E32763"/>
    <w:rsid w:val="00E35666"/>
    <w:rsid w:val="00E459CD"/>
    <w:rsid w:val="00E4628E"/>
    <w:rsid w:val="00E50120"/>
    <w:rsid w:val="00E54054"/>
    <w:rsid w:val="00E54976"/>
    <w:rsid w:val="00E54C75"/>
    <w:rsid w:val="00E64382"/>
    <w:rsid w:val="00E667E3"/>
    <w:rsid w:val="00E733E1"/>
    <w:rsid w:val="00E767F5"/>
    <w:rsid w:val="00E81B08"/>
    <w:rsid w:val="00E81EDB"/>
    <w:rsid w:val="00E855BD"/>
    <w:rsid w:val="00E873A2"/>
    <w:rsid w:val="00E87A34"/>
    <w:rsid w:val="00E9234B"/>
    <w:rsid w:val="00EA3D7B"/>
    <w:rsid w:val="00EA3EFE"/>
    <w:rsid w:val="00EA41F7"/>
    <w:rsid w:val="00EA53D0"/>
    <w:rsid w:val="00EB3531"/>
    <w:rsid w:val="00EB5CCE"/>
    <w:rsid w:val="00ED1292"/>
    <w:rsid w:val="00ED1A18"/>
    <w:rsid w:val="00ED79ED"/>
    <w:rsid w:val="00EE5868"/>
    <w:rsid w:val="00EF04FC"/>
    <w:rsid w:val="00EF0AD2"/>
    <w:rsid w:val="00EF1D5A"/>
    <w:rsid w:val="00EF334D"/>
    <w:rsid w:val="00EF606E"/>
    <w:rsid w:val="00F00963"/>
    <w:rsid w:val="00F04A87"/>
    <w:rsid w:val="00F31375"/>
    <w:rsid w:val="00F33021"/>
    <w:rsid w:val="00F37FCD"/>
    <w:rsid w:val="00F412DF"/>
    <w:rsid w:val="00F41577"/>
    <w:rsid w:val="00F427EE"/>
    <w:rsid w:val="00F43E38"/>
    <w:rsid w:val="00F44C3E"/>
    <w:rsid w:val="00F55A07"/>
    <w:rsid w:val="00F6458B"/>
    <w:rsid w:val="00F64C00"/>
    <w:rsid w:val="00F66EF8"/>
    <w:rsid w:val="00F7225E"/>
    <w:rsid w:val="00F725C4"/>
    <w:rsid w:val="00F76913"/>
    <w:rsid w:val="00F7695B"/>
    <w:rsid w:val="00F77EC2"/>
    <w:rsid w:val="00F8496C"/>
    <w:rsid w:val="00F91DDD"/>
    <w:rsid w:val="00F92ACA"/>
    <w:rsid w:val="00F946EC"/>
    <w:rsid w:val="00FA17C9"/>
    <w:rsid w:val="00FA4BD4"/>
    <w:rsid w:val="00FA528D"/>
    <w:rsid w:val="00FB3C15"/>
    <w:rsid w:val="00FB7930"/>
    <w:rsid w:val="00FC15EC"/>
    <w:rsid w:val="00FC17A5"/>
    <w:rsid w:val="00FC4857"/>
    <w:rsid w:val="00FC6434"/>
    <w:rsid w:val="00FD1F35"/>
    <w:rsid w:val="00FD2322"/>
    <w:rsid w:val="00FD2538"/>
    <w:rsid w:val="00FD2724"/>
    <w:rsid w:val="00FD344F"/>
    <w:rsid w:val="00FD5A87"/>
    <w:rsid w:val="00FE1D10"/>
    <w:rsid w:val="00FE5C9C"/>
    <w:rsid w:val="00FE7E48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0E579F9-44F5-4D2E-8026-005F9BEF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E90"/>
    <w:pPr>
      <w:spacing w:after="200" w:line="276" w:lineRule="auto"/>
    </w:pPr>
    <w:rPr>
      <w:rFonts w:cs="Calibri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27A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527A77"/>
    <w:rPr>
      <w:lang w:val="pt-BR"/>
    </w:rPr>
  </w:style>
  <w:style w:type="paragraph" w:styleId="Rodap">
    <w:name w:val="footer"/>
    <w:basedOn w:val="Normal"/>
    <w:link w:val="RodapChar"/>
    <w:uiPriority w:val="99"/>
    <w:semiHidden/>
    <w:rsid w:val="00527A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527A77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rsid w:val="00527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27A77"/>
    <w:rPr>
      <w:rFonts w:ascii="Tahoma" w:hAnsi="Tahoma" w:cs="Tahoma"/>
      <w:sz w:val="16"/>
      <w:szCs w:val="16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037EE0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037EE0"/>
    <w:rPr>
      <w:rFonts w:ascii="Arial" w:hAnsi="Arial" w:cs="Arial"/>
      <w:sz w:val="20"/>
      <w:szCs w:val="20"/>
      <w:lang w:val="pt-BR" w:eastAsia="pt-BR"/>
    </w:rPr>
  </w:style>
  <w:style w:type="character" w:styleId="Refdenotaderodap">
    <w:name w:val="footnote reference"/>
    <w:basedOn w:val="Fontepargpadro"/>
    <w:uiPriority w:val="99"/>
    <w:semiHidden/>
    <w:rsid w:val="00037EE0"/>
    <w:rPr>
      <w:vertAlign w:val="superscript"/>
    </w:rPr>
  </w:style>
  <w:style w:type="paragraph" w:styleId="NormalWeb">
    <w:name w:val="Normal (Web)"/>
    <w:basedOn w:val="Normal"/>
    <w:uiPriority w:val="99"/>
    <w:rsid w:val="0069427E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val="en-US"/>
    </w:rPr>
  </w:style>
  <w:style w:type="character" w:styleId="Hyperlink">
    <w:name w:val="Hyperlink"/>
    <w:basedOn w:val="Fontepargpadro"/>
    <w:uiPriority w:val="99"/>
    <w:semiHidden/>
    <w:rsid w:val="0069427E"/>
    <w:rPr>
      <w:color w:val="0000FF"/>
      <w:u w:val="single"/>
    </w:rPr>
  </w:style>
  <w:style w:type="paragraph" w:styleId="MapadoDocumento">
    <w:name w:val="Document Map"/>
    <w:basedOn w:val="Normal"/>
    <w:link w:val="MapadoDocumentoChar"/>
    <w:uiPriority w:val="99"/>
    <w:semiHidden/>
    <w:rsid w:val="001531B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A37C18"/>
    <w:rPr>
      <w:rFonts w:ascii="Times New Roman" w:hAnsi="Times New Roman" w:cs="Times New Roman"/>
      <w:sz w:val="2"/>
      <w:szCs w:val="2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rsid w:val="005B2C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5B2C7C"/>
    <w:rPr>
      <w:rFonts w:ascii="Calibri" w:hAnsi="Calibri" w:cs="Calibri"/>
      <w:lang w:val="pt-BR"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FE1D10"/>
    <w:pPr>
      <w:spacing w:after="160" w:line="259" w:lineRule="auto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locked/>
    <w:rsid w:val="00FE1D10"/>
    <w:rPr>
      <w:i/>
      <w:iCs/>
      <w:color w:val="000000"/>
      <w:lang w:val="pt-BR"/>
    </w:rPr>
  </w:style>
  <w:style w:type="paragraph" w:customStyle="1" w:styleId="Standard">
    <w:name w:val="Standard"/>
    <w:link w:val="StandardChar"/>
    <w:uiPriority w:val="99"/>
    <w:rsid w:val="00E02AB5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lang w:val="pt-BR" w:eastAsia="zh-CN"/>
    </w:rPr>
  </w:style>
  <w:style w:type="character" w:customStyle="1" w:styleId="StandardChar">
    <w:name w:val="Standard Char"/>
    <w:basedOn w:val="Fontepargpadro"/>
    <w:link w:val="Standard"/>
    <w:uiPriority w:val="99"/>
    <w:locked/>
    <w:rsid w:val="00E02AB5"/>
    <w:rPr>
      <w:rFonts w:eastAsia="Times New Roman"/>
      <w:kern w:val="3"/>
      <w:sz w:val="22"/>
      <w:szCs w:val="22"/>
      <w:lang w:val="pt-BR" w:eastAsia="zh-CN"/>
    </w:rPr>
  </w:style>
  <w:style w:type="paragraph" w:customStyle="1" w:styleId="Default">
    <w:name w:val="Default"/>
    <w:rsid w:val="00DA64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locked/>
    <w:rsid w:val="00A0004E"/>
    <w:rPr>
      <w:b/>
      <w:bCs/>
    </w:rPr>
  </w:style>
  <w:style w:type="paragraph" w:customStyle="1" w:styleId="SombreamentoMdio1-nfase31">
    <w:name w:val="Sombreamento Médio 1 - Ênfase 31"/>
    <w:basedOn w:val="Normal"/>
    <w:next w:val="Normal"/>
    <w:rsid w:val="0040479E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556BA-D4A3-426E-9EE5-DD809C13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1407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VICTOR</dc:creator>
  <cp:lastModifiedBy>Usuário do Windows</cp:lastModifiedBy>
  <cp:revision>7</cp:revision>
  <cp:lastPrinted>2019-07-12T12:12:00Z</cp:lastPrinted>
  <dcterms:created xsi:type="dcterms:W3CDTF">2021-07-22T13:54:00Z</dcterms:created>
  <dcterms:modified xsi:type="dcterms:W3CDTF">2021-07-29T18:47:00Z</dcterms:modified>
</cp:coreProperties>
</file>