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49BC" w14:textId="1DBE23E1" w:rsidR="001221D1" w:rsidRPr="001221D1" w:rsidRDefault="001221D1" w:rsidP="00962D4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21D1">
        <w:rPr>
          <w:rFonts w:ascii="Times New Roman" w:hAnsi="Times New Roman" w:cs="Times New Roman"/>
          <w:b/>
          <w:bCs/>
          <w:sz w:val="24"/>
          <w:szCs w:val="24"/>
          <w:u w:val="single"/>
        </w:rPr>
        <w:t>ANEXO VI</w:t>
      </w:r>
    </w:p>
    <w:p w14:paraId="7B0DF5DC" w14:textId="44DB84DB" w:rsidR="00962D48" w:rsidRDefault="00962D48" w:rsidP="00962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3E9">
        <w:rPr>
          <w:rFonts w:ascii="Times New Roman" w:hAnsi="Times New Roman" w:cs="Times New Roman"/>
          <w:b/>
          <w:bCs/>
          <w:sz w:val="24"/>
          <w:szCs w:val="24"/>
        </w:rPr>
        <w:t>LISTA DE VERIFICAÇÃO PARA ABERTURA DE PREGÃO</w:t>
      </w:r>
      <w:r w:rsidR="000012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2BA" w:rsidRPr="0093499D">
        <w:rPr>
          <w:rFonts w:ascii="Times New Roman" w:hAnsi="Times New Roman" w:cs="Times New Roman"/>
          <w:b/>
          <w:bCs/>
          <w:sz w:val="24"/>
          <w:szCs w:val="24"/>
          <w:u w:val="single"/>
        </w:rPr>
        <w:t>PARA REGISTRO DE</w:t>
      </w:r>
      <w:r w:rsidR="000012BA" w:rsidRPr="00FF22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PREÇOS</w:t>
      </w:r>
      <w:r w:rsidR="008D0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B1962">
        <w:rPr>
          <w:rFonts w:ascii="Times New Roman" w:hAnsi="Times New Roman" w:cs="Times New Roman"/>
          <w:b/>
          <w:bCs/>
          <w:sz w:val="24"/>
          <w:szCs w:val="24"/>
        </w:rPr>
        <w:t>SERVIÇOS CO</w:t>
      </w:r>
      <w:r w:rsidR="0030664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B1962">
        <w:rPr>
          <w:rFonts w:ascii="Times New Roman" w:hAnsi="Times New Roman" w:cs="Times New Roman"/>
          <w:b/>
          <w:bCs/>
          <w:sz w:val="24"/>
          <w:szCs w:val="24"/>
        </w:rPr>
        <w:t>UNS DE ENGENHARIA</w:t>
      </w:r>
      <w:r w:rsidRPr="00B84C02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F5260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bookmarkStart w:id="0" w:name="_Hlk132183271"/>
      <w:r w:rsidR="00F5260E">
        <w:rPr>
          <w:rFonts w:ascii="Times New Roman" w:hAnsi="Times New Roman" w:cs="Times New Roman"/>
          <w:b/>
          <w:bCs/>
          <w:sz w:val="24"/>
          <w:szCs w:val="24"/>
        </w:rPr>
        <w:t>LEI N. 14.133/2021</w:t>
      </w:r>
      <w:bookmarkEnd w:id="0"/>
    </w:p>
    <w:p w14:paraId="4C132564" w14:textId="2060861F" w:rsidR="00035101" w:rsidRPr="001713E9" w:rsidRDefault="00035101" w:rsidP="00962D4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497" w:type="dxa"/>
        <w:jc w:val="center"/>
        <w:tblCellSpacing w:w="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9"/>
        <w:gridCol w:w="1548"/>
      </w:tblGrid>
      <w:tr w:rsidR="00162785" w:rsidRPr="001713E9" w14:paraId="0220ACC2" w14:textId="3D848A33" w:rsidTr="00162785">
        <w:trPr>
          <w:tblCellSpacing w:w="0" w:type="dxa"/>
          <w:jc w:val="center"/>
        </w:trPr>
        <w:tc>
          <w:tcPr>
            <w:tcW w:w="6949" w:type="dxa"/>
          </w:tcPr>
          <w:p w14:paraId="619DE9D6" w14:textId="490A3D8D" w:rsidR="00162785" w:rsidRPr="001713E9" w:rsidRDefault="00162785" w:rsidP="00EE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table06"/>
            <w:bookmarkEnd w:id="1"/>
            <w:r w:rsidRPr="00171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DOCUMENTOS A SEREM VERIFICADOS</w:t>
            </w:r>
            <w:r w:rsidR="00A53E74">
              <w:rPr>
                <w:rStyle w:val="Refdenotaderodap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548" w:type="dxa"/>
          </w:tcPr>
          <w:p w14:paraId="20B6A96F" w14:textId="68788434" w:rsidR="00162785" w:rsidRPr="001713E9" w:rsidRDefault="00162785" w:rsidP="00EE2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Documento SEI</w:t>
            </w:r>
            <w:r w:rsidR="00CE4684" w:rsidRPr="00CE468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162785" w:rsidRPr="001713E9" w14:paraId="4BBA99C1" w14:textId="1A8ED82D" w:rsidTr="00162785">
        <w:trPr>
          <w:trHeight w:val="711"/>
          <w:tblCellSpacing w:w="0" w:type="dxa"/>
          <w:jc w:val="center"/>
        </w:trPr>
        <w:tc>
          <w:tcPr>
            <w:tcW w:w="6949" w:type="dxa"/>
          </w:tcPr>
          <w:p w14:paraId="17A199C1" w14:textId="7A141F88" w:rsidR="00162785" w:rsidRPr="006B5C67" w:rsidRDefault="00162785" w:rsidP="006B5C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I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Documento de Formalização da Demanda, </w:t>
            </w:r>
            <w:r w:rsidRPr="006B5C67">
              <w:rPr>
                <w:rFonts w:ascii="Times New Roman" w:hAnsi="Times New Roman" w:cs="Times New Roman"/>
                <w:sz w:val="24"/>
                <w:szCs w:val="24"/>
              </w:rPr>
              <w:t>que evidencie e detalhe a necessidade administrativa do objeto a ser contratado, devendo contemplar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(art.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 I, da Lei n. 14.133/2021; art. 17, I, do Decreto Estadual n. 21.872/2023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B5C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944513" w14:textId="02C8614A" w:rsidR="00162785" w:rsidRPr="00203CB3" w:rsidRDefault="00162785" w:rsidP="006B5C67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I.1</w:t>
            </w:r>
            <w:r w:rsidRPr="006B5C67">
              <w:rPr>
                <w:rFonts w:ascii="Times New Roman" w:hAnsi="Times New Roman" w:cs="Times New Roman"/>
                <w:sz w:val="24"/>
                <w:szCs w:val="24"/>
              </w:rPr>
              <w:t xml:space="preserve"> - a </w:t>
            </w:r>
            <w:r w:rsidRPr="00203CB3">
              <w:rPr>
                <w:rFonts w:ascii="Times New Roman" w:hAnsi="Times New Roman" w:cs="Times New Roman"/>
                <w:sz w:val="24"/>
                <w:szCs w:val="24"/>
              </w:rPr>
              <w:t>descrição da necessidade que se pretende atender por meio da contratação do serviço</w:t>
            </w:r>
            <w:r w:rsidR="002655E8" w:rsidRPr="002655E8">
              <w:rPr>
                <w:rFonts w:ascii="Times New Roman" w:hAnsi="Times New Roman" w:cs="Times New Roman"/>
                <w:sz w:val="24"/>
                <w:szCs w:val="24"/>
              </w:rPr>
              <w:t>, acompanhada de manifestação acerca da natureza comum do objeto (art. 6º, XLI, da Lei n. 14.133/2021);</w:t>
            </w:r>
          </w:p>
          <w:p w14:paraId="2C2ABA14" w14:textId="48DB6B41" w:rsidR="00162785" w:rsidRPr="00203CB3" w:rsidRDefault="00162785" w:rsidP="006B5C67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B3">
              <w:rPr>
                <w:rFonts w:ascii="Times New Roman" w:hAnsi="Times New Roman" w:cs="Times New Roman"/>
                <w:sz w:val="24"/>
                <w:szCs w:val="24"/>
              </w:rPr>
              <w:t>I.2 - a estimativa de quantitativo do objeto a ser contratado, justificado conforme o Plano Anual de Contratações, se houver, ou no quantitativo contratado em exercícios anteriores, quando for o caso;</w:t>
            </w:r>
          </w:p>
          <w:p w14:paraId="7E315260" w14:textId="4A77EBDE" w:rsidR="00162785" w:rsidRPr="00203CB3" w:rsidRDefault="00162785" w:rsidP="006B5C67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B3">
              <w:rPr>
                <w:rFonts w:ascii="Times New Roman" w:hAnsi="Times New Roman" w:cs="Times New Roman"/>
                <w:sz w:val="24"/>
                <w:szCs w:val="24"/>
              </w:rPr>
              <w:t>I.3 - a justificativa simplificada da necessidade da contratação, inclusive com demonstração da sua previsão no Plano Anual de Contratações, quando houver; e</w:t>
            </w:r>
          </w:p>
          <w:p w14:paraId="38F2AD33" w14:textId="77777777" w:rsidR="00162785" w:rsidRDefault="00162785" w:rsidP="00633290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B3">
              <w:rPr>
                <w:rFonts w:ascii="Times New Roman" w:hAnsi="Times New Roman" w:cs="Times New Roman"/>
                <w:sz w:val="24"/>
                <w:szCs w:val="24"/>
              </w:rPr>
              <w:t>I.4 - a previsão de data em que deve ser iniciada a prestação dos serviços.</w:t>
            </w:r>
          </w:p>
          <w:p w14:paraId="3A90452D" w14:textId="50EB4B61" w:rsidR="00C97FFA" w:rsidRPr="001713E9" w:rsidRDefault="00C97FFA" w:rsidP="00633290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I.5 – justificativa para a adoção do Sistema de Registro de Preços, conforme art. 4º do Decreto Estadual n. 21.938/2023.</w:t>
            </w:r>
          </w:p>
        </w:tc>
        <w:tc>
          <w:tcPr>
            <w:tcW w:w="1548" w:type="dxa"/>
            <w:vAlign w:val="center"/>
          </w:tcPr>
          <w:p w14:paraId="7507E972" w14:textId="7274AAEF" w:rsidR="00162785" w:rsidRPr="001713E9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FFA" w:rsidRPr="001713E9" w14:paraId="3426C1AA" w14:textId="77777777" w:rsidTr="00162785">
        <w:trPr>
          <w:trHeight w:val="711"/>
          <w:tblCellSpacing w:w="0" w:type="dxa"/>
          <w:jc w:val="center"/>
        </w:trPr>
        <w:tc>
          <w:tcPr>
            <w:tcW w:w="6949" w:type="dxa"/>
          </w:tcPr>
          <w:p w14:paraId="77091DC9" w14:textId="4DE06655" w:rsidR="00C97FFA" w:rsidRPr="001713E9" w:rsidRDefault="00C97FFA" w:rsidP="006B5C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1">
              <w:rPr>
                <w:rFonts w:ascii="Times New Roman" w:hAnsi="Times New Roman" w:cs="Times New Roman"/>
                <w:sz w:val="24"/>
                <w:szCs w:val="24"/>
              </w:rPr>
              <w:t>II – Caso se trate de Registro de Preços Setorial, deverá constar delegação da SEAD para tanto (art. 7º do Decreto Estadual n. 21.938/2023);</w:t>
            </w:r>
          </w:p>
        </w:tc>
        <w:tc>
          <w:tcPr>
            <w:tcW w:w="1548" w:type="dxa"/>
            <w:vAlign w:val="center"/>
          </w:tcPr>
          <w:p w14:paraId="33C8A9CC" w14:textId="77777777" w:rsidR="00C97FFA" w:rsidRPr="001713E9" w:rsidRDefault="00C97FFA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016A2B3A" w14:textId="4B93B5F8" w:rsidTr="00162785">
        <w:trPr>
          <w:trHeight w:val="711"/>
          <w:tblCellSpacing w:w="0" w:type="dxa"/>
          <w:jc w:val="center"/>
        </w:trPr>
        <w:tc>
          <w:tcPr>
            <w:tcW w:w="6949" w:type="dxa"/>
          </w:tcPr>
          <w:p w14:paraId="4AB74279" w14:textId="69CB0ACF" w:rsidR="00162785" w:rsidRDefault="00162785" w:rsidP="006B5C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r w:rsidR="00C97F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Declaração da</w:t>
            </w:r>
            <w:r w:rsidRPr="00DE002A">
              <w:rPr>
                <w:rFonts w:ascii="Times New Roman" w:hAnsi="Times New Roman" w:cs="Times New Roman"/>
                <w:sz w:val="24"/>
                <w:szCs w:val="24"/>
              </w:rPr>
              <w:t xml:space="preserve"> Secretaria de Administração acerca da existência de ARP vigente ou de intenção de registro de preços em andamento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(art. 40 do Decreto Estadual n. 21.938/2023);</w:t>
            </w:r>
          </w:p>
          <w:p w14:paraId="737DFFD5" w14:textId="77777777" w:rsidR="00290568" w:rsidRPr="003B32CE" w:rsidRDefault="00290568" w:rsidP="00290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2C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Nota </w:t>
            </w:r>
            <w:r w:rsidRPr="00CD619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explicativa</w:t>
            </w:r>
            <w:r w:rsidRPr="00CD619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: Conforme art. 40 do Decreto Estadual n. 21.938/2023: </w:t>
            </w:r>
            <w:r w:rsidRPr="00CD619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Art. 40. Os órgãos e entidades de que trata o art. 1º, na fase preparatória do </w:t>
            </w:r>
            <w:r w:rsidRPr="00CD619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  <w:t>processo licitatório</w:t>
            </w:r>
            <w:r w:rsidRPr="00CD619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ou da contratação direta, deverão consultar a Secretaria de Administração acerca da existência de ARP vigente ou de intenção de registro de preços em andamento. Parágrafo único. Fica dispensada a consulta referida no caput nas hipóteses indicadas no Decreto Estadual nº 21.909, de 17 de </w:t>
            </w:r>
            <w:r w:rsidRPr="0068521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março de 2023.</w:t>
            </w:r>
          </w:p>
          <w:p w14:paraId="5D5E3027" w14:textId="773ED371" w:rsidR="00290568" w:rsidRPr="001713E9" w:rsidRDefault="00290568" w:rsidP="006B5C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7CB8D929" w14:textId="00CE902F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6AE19F1F" w14:textId="5A6FF394" w:rsidTr="00162785">
        <w:trPr>
          <w:trHeight w:val="711"/>
          <w:tblCellSpacing w:w="0" w:type="dxa"/>
          <w:jc w:val="center"/>
        </w:trPr>
        <w:tc>
          <w:tcPr>
            <w:tcW w:w="6949" w:type="dxa"/>
          </w:tcPr>
          <w:p w14:paraId="50A959C1" w14:textId="2F9C8207" w:rsidR="00162785" w:rsidRDefault="00C97FFA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162785" w:rsidRPr="00AC7CD6">
              <w:rPr>
                <w:rFonts w:ascii="Times New Roman" w:hAnsi="Times New Roman" w:cs="Times New Roman"/>
                <w:sz w:val="24"/>
                <w:szCs w:val="24"/>
              </w:rPr>
              <w:t xml:space="preserve"> – Estudo Técnico Preliminar – ETP (art. 18,</w:t>
            </w:r>
            <w:r w:rsidR="00162785">
              <w:rPr>
                <w:rFonts w:ascii="Times New Roman" w:hAnsi="Times New Roman" w:cs="Times New Roman"/>
                <w:sz w:val="24"/>
                <w:szCs w:val="24"/>
              </w:rPr>
              <w:t xml:space="preserve"> II,</w:t>
            </w:r>
            <w:r w:rsidR="00162785" w:rsidRPr="00AC7CD6">
              <w:rPr>
                <w:rFonts w:ascii="Times New Roman" w:hAnsi="Times New Roman" w:cs="Times New Roman"/>
                <w:sz w:val="24"/>
                <w:szCs w:val="24"/>
              </w:rPr>
              <w:t xml:space="preserve"> Lei n. 14.133/2021</w:t>
            </w:r>
            <w:r w:rsidR="00162785">
              <w:rPr>
                <w:rFonts w:ascii="Times New Roman" w:hAnsi="Times New Roman" w:cs="Times New Roman"/>
                <w:sz w:val="24"/>
                <w:szCs w:val="24"/>
              </w:rPr>
              <w:t>; art. 17, II, do Decreto Estadual n. 21.872/2023</w:t>
            </w:r>
            <w:r w:rsidR="00162785" w:rsidRPr="00AC7CD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0BE51663" w14:textId="3D5009DE" w:rsidR="00162785" w:rsidRPr="00217940" w:rsidRDefault="00162785" w:rsidP="00EE2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794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Nota explicativa</w:t>
            </w:r>
            <w:r w:rsidRPr="002179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: Conforme art. 28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do Decreto Estadual n. 21.872/2023, </w:t>
            </w:r>
            <w:r w:rsidRPr="00427FA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“a elaboração do ETP: I - é facultada nas hipóteses dos incisos I, II, VII e VIII do art. 75 e do § 7º do art. 90 da Lei nº 14.133/2021; e II - é dispensada na hipótese do inciso III do art. 75 da Lei nº 14.133, de 2021, e nos casos de prorrogações dos contratos de serviços e fornecimentos contínuos. [...] §2º Poderá ainda ser dispensada a elaboração de ETP caso a contratação pretendida possua valor estimado de até 10 (dez) vezes dos limites previstos nos incisos I e II do art. 75 da Lei nº 14.133/2021”.</w:t>
            </w:r>
          </w:p>
          <w:p w14:paraId="6E987C33" w14:textId="77777777" w:rsidR="00162785" w:rsidRPr="00217940" w:rsidRDefault="00162785" w:rsidP="00EE2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3E04E02" w14:textId="0F7E0A35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FFA" w:rsidRPr="001713E9" w14:paraId="2189BD94" w14:textId="77777777" w:rsidTr="00162785">
        <w:trPr>
          <w:trHeight w:val="711"/>
          <w:tblCellSpacing w:w="0" w:type="dxa"/>
          <w:jc w:val="center"/>
        </w:trPr>
        <w:tc>
          <w:tcPr>
            <w:tcW w:w="6949" w:type="dxa"/>
          </w:tcPr>
          <w:p w14:paraId="4F3B3F86" w14:textId="77777777" w:rsidR="00C97FFA" w:rsidRDefault="00C97FFA" w:rsidP="00C97F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– Divulgação da intenção de registro de preços para que 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>os órgãos e entidades da Administração Pública Estadual particip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do registro de preço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(art.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do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Decreto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Estadual n. 21.938/2023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00CE86" w14:textId="77777777" w:rsidR="00C97FFA" w:rsidRDefault="00C97FFA" w:rsidP="00C97FFA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.1 – Caso haja participação de outros órgãos,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deverão ser consolidadas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as demandas de todos, de forma que constem no Termo de Referência (art.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6º, IV, do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Decreto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Estadual n. 21.938/2023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7FE880F" w14:textId="77777777" w:rsidR="00C97FFA" w:rsidRDefault="00C97FFA" w:rsidP="00C97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3C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Nota explicativa</w:t>
            </w:r>
            <w:r w:rsidRPr="007303C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: Conforme art. 12, § 2º, do Decreto Estadual n. 21.938/2023, a divulgação da intenção de registro de preços será dispensável quando o órgão ou entidade gerenciadora for o único </w:t>
            </w:r>
            <w:r w:rsidRPr="007E5AD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contratante. Tal divulgação também será dispensável quando se tratar de registro de preços </w:t>
            </w:r>
            <w:r w:rsidRPr="004F68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setorial.</w:t>
            </w:r>
          </w:p>
          <w:p w14:paraId="700C1FFF" w14:textId="364A3885" w:rsidR="00C97FFA" w:rsidRDefault="00C97FFA" w:rsidP="00C97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C346815" w14:textId="77777777" w:rsidR="00C97FFA" w:rsidRDefault="00C97FFA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28642A78" w14:textId="1F1D6304" w:rsidTr="00162785">
        <w:trPr>
          <w:trHeight w:val="711"/>
          <w:tblCellSpacing w:w="0" w:type="dxa"/>
          <w:jc w:val="center"/>
        </w:trPr>
        <w:tc>
          <w:tcPr>
            <w:tcW w:w="6949" w:type="dxa"/>
          </w:tcPr>
          <w:p w14:paraId="6CA245FF" w14:textId="4AB66364" w:rsidR="00162785" w:rsidRDefault="00162785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97F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Mapa de riscos, quando for o caso (</w:t>
            </w:r>
            <w:r w:rsidRPr="00AC7CD6">
              <w:rPr>
                <w:rFonts w:ascii="Times New Roman" w:hAnsi="Times New Roman" w:cs="Times New Roman"/>
                <w:sz w:val="24"/>
                <w:szCs w:val="24"/>
              </w:rPr>
              <w:t>art. 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X, da</w:t>
            </w:r>
            <w:r w:rsidRPr="00AC7CD6">
              <w:rPr>
                <w:rFonts w:ascii="Times New Roman" w:hAnsi="Times New Roman" w:cs="Times New Roman"/>
                <w:sz w:val="24"/>
                <w:szCs w:val="24"/>
              </w:rPr>
              <w:t xml:space="preserve"> Lei n. 14.133/2021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art. 17, III, e 31, do Decreto Estadual n. 21.872/2023);</w:t>
            </w:r>
          </w:p>
        </w:tc>
        <w:tc>
          <w:tcPr>
            <w:tcW w:w="1548" w:type="dxa"/>
            <w:vAlign w:val="center"/>
          </w:tcPr>
          <w:p w14:paraId="456C6473" w14:textId="715A5065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06346A6B" w14:textId="6A565B01" w:rsidTr="00162785">
        <w:trPr>
          <w:trHeight w:val="447"/>
          <w:tblCellSpacing w:w="0" w:type="dxa"/>
          <w:jc w:val="center"/>
        </w:trPr>
        <w:tc>
          <w:tcPr>
            <w:tcW w:w="6949" w:type="dxa"/>
          </w:tcPr>
          <w:p w14:paraId="7356168C" w14:textId="520FD928" w:rsidR="00162785" w:rsidRDefault="00162785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 w:rsidR="00C97FF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54976">
              <w:rPr>
                <w:rFonts w:ascii="Times New Roman" w:hAnsi="Times New Roman" w:cs="Times New Roman"/>
                <w:sz w:val="24"/>
                <w:szCs w:val="24"/>
              </w:rPr>
              <w:t xml:space="preserve"> – Termo de Referência (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 I e II, da Lei n. 14.133/2021; art. 17, V, do Decreto Estadual n. 21.872/2</w:t>
            </w:r>
            <w:r w:rsidR="0050169E">
              <w:rPr>
                <w:rFonts w:ascii="Times New Roman" w:hAnsi="Times New Roman" w:cs="Times New Roman"/>
                <w:sz w:val="24"/>
                <w:szCs w:val="24"/>
              </w:rPr>
              <w:t>2023)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7015E50" w14:textId="64167D32" w:rsidR="0050169E" w:rsidRDefault="0050169E" w:rsidP="00501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86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Nota explicativa</w:t>
            </w:r>
            <w:r w:rsidRPr="0050169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: A elaboração do TR deverá observar os requisitos estabelecidos nos arts. 35 a 38 do Decreto Estadual n. 21.872/2023. Quanto aos serviços comuns de engenharia, deverão constar também os elementos indicados no art. 36, §3º, do citado </w:t>
            </w:r>
            <w:r w:rsidRPr="007319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Decreto.</w:t>
            </w:r>
            <w:r w:rsidR="00731966" w:rsidRPr="007319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Além </w:t>
            </w:r>
            <w:r w:rsidR="00731966" w:rsidRPr="00CE30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disso, deverão constar no Termo de Referência as exigências de práticas e/ou critérios de sustentabilidade para a contratação pretendida, conforme </w:t>
            </w:r>
            <w:r w:rsidR="00731966" w:rsidRPr="000969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Decreto </w:t>
            </w:r>
            <w:r w:rsidR="007319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</w:t>
            </w:r>
            <w:r w:rsidR="00731966" w:rsidRPr="000969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stadual n. 23.891/2025.</w:t>
            </w:r>
          </w:p>
          <w:p w14:paraId="25BE078D" w14:textId="15FE88BD" w:rsidR="0050169E" w:rsidRPr="001713E9" w:rsidRDefault="0050169E" w:rsidP="00501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DEE1D4B" w14:textId="30CB206D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5E7CFDC8" w14:textId="02E67741" w:rsidTr="00162785">
        <w:trPr>
          <w:trHeight w:val="344"/>
          <w:tblCellSpacing w:w="0" w:type="dxa"/>
          <w:jc w:val="center"/>
        </w:trPr>
        <w:tc>
          <w:tcPr>
            <w:tcW w:w="6949" w:type="dxa"/>
          </w:tcPr>
          <w:p w14:paraId="23E33535" w14:textId="44CC9124" w:rsidR="00162785" w:rsidRPr="001713E9" w:rsidRDefault="00162785" w:rsidP="00035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C97FF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- Pesquisas de </w:t>
            </w:r>
            <w:r w:rsidRPr="00D0772C">
              <w:rPr>
                <w:rFonts w:ascii="Times New Roman" w:hAnsi="Times New Roman" w:cs="Times New Roman"/>
                <w:sz w:val="24"/>
                <w:szCs w:val="24"/>
              </w:rPr>
              <w:t>preços (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 IV, da Lei n. 14.133/2021; art. 17</w:t>
            </w:r>
            <w:r w:rsidRPr="00203CB3">
              <w:rPr>
                <w:rFonts w:ascii="Times New Roman" w:hAnsi="Times New Roman" w:cs="Times New Roman"/>
                <w:sz w:val="24"/>
                <w:szCs w:val="24"/>
              </w:rPr>
              <w:t>, VI, e art. 50 do Decreto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Estadual n. 21.872/2023</w:t>
            </w:r>
            <w:r w:rsidRPr="00D0772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14:paraId="5E79A425" w14:textId="7BA7BCDA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0F4FC29B" w14:textId="7B9B0DBC" w:rsidTr="00162785">
        <w:trPr>
          <w:trHeight w:val="696"/>
          <w:tblCellSpacing w:w="0" w:type="dxa"/>
          <w:jc w:val="center"/>
        </w:trPr>
        <w:tc>
          <w:tcPr>
            <w:tcW w:w="6949" w:type="dxa"/>
          </w:tcPr>
          <w:p w14:paraId="1512A823" w14:textId="0ECC4AEC" w:rsidR="00162785" w:rsidRPr="00C63864" w:rsidRDefault="00C97FFA" w:rsidP="00CF2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162785" w:rsidRPr="000C5D3D">
              <w:rPr>
                <w:rFonts w:ascii="Times New Roman" w:hAnsi="Times New Roman" w:cs="Times New Roman"/>
                <w:sz w:val="24"/>
                <w:szCs w:val="24"/>
              </w:rPr>
              <w:t xml:space="preserve"> - Elaboração, se for o caso, de projeto executivo, </w:t>
            </w:r>
            <w:r w:rsidR="000C5D3D" w:rsidRPr="000C5D3D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162785" w:rsidRPr="000C5D3D">
              <w:rPr>
                <w:rFonts w:ascii="Times New Roman" w:hAnsi="Times New Roman" w:cs="Times New Roman"/>
                <w:sz w:val="24"/>
                <w:szCs w:val="24"/>
              </w:rPr>
              <w:t xml:space="preserve"> justificativa de que será elaborado pelo Contratado ou informação de que os projetos que instruem os autos já estão em nível de projeto executivo ou dispensam sua elaboração (46, § 1º, Lei n. 14.133/2021);</w:t>
            </w:r>
          </w:p>
          <w:p w14:paraId="07C8FA7E" w14:textId="77777777" w:rsidR="00162785" w:rsidRPr="00C63864" w:rsidRDefault="00162785" w:rsidP="00CF2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386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Nota explicativa</w:t>
            </w:r>
            <w:r w:rsidRPr="00C638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: O art. 46, § 1º, da Lei n. 14.133/2021 dispõe que </w:t>
            </w:r>
            <w:r w:rsidRPr="00C63864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“É vedada a realização de obras e serviços de engenharia sem projeto executivo, ressalvada a hipótese prevista no § 3º do art. 18 desta Lei.”</w:t>
            </w:r>
            <w:r w:rsidRPr="00C6386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De sua vez, o no § 3º do art. 18 da Lei n. 14.133/2021 consigna que </w:t>
            </w:r>
            <w:r w:rsidRPr="00C63864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“</w:t>
            </w:r>
            <w:r w:rsidRPr="00C638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  <w:t>Em se tratando de estudo técnico preliminar para contratação de obras e serviços comuns de engenharia, se demonstrada a inexistência de prejuízo para a aferição dos padrões de desempenho e qualidade almejados, a especificação do objeto poderá ser realizada apenas em termo de referência ou em projeto básico, dispensada a elaboração de projetos.”</w:t>
            </w:r>
          </w:p>
          <w:p w14:paraId="7C20BF17" w14:textId="71138643" w:rsidR="00162785" w:rsidRPr="001713E9" w:rsidRDefault="00162785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66AE487" w14:textId="77777777" w:rsidR="00162785" w:rsidRPr="00CF28E7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162785" w:rsidRPr="001713E9" w14:paraId="052EDFA1" w14:textId="4DCDD301" w:rsidTr="00162785">
        <w:trPr>
          <w:trHeight w:val="696"/>
          <w:tblCellSpacing w:w="0" w:type="dxa"/>
          <w:jc w:val="center"/>
        </w:trPr>
        <w:tc>
          <w:tcPr>
            <w:tcW w:w="6949" w:type="dxa"/>
          </w:tcPr>
          <w:p w14:paraId="4CC3DC81" w14:textId="461EC485" w:rsidR="00162785" w:rsidRPr="00494B58" w:rsidRDefault="00C97FFA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62785" w:rsidRPr="00494B58">
              <w:rPr>
                <w:rFonts w:ascii="Times New Roman" w:hAnsi="Times New Roman" w:cs="Times New Roman"/>
                <w:sz w:val="24"/>
                <w:szCs w:val="24"/>
              </w:rPr>
              <w:t xml:space="preserve"> – Justificativas para as seguintes situações:</w:t>
            </w:r>
          </w:p>
          <w:p w14:paraId="1A649429" w14:textId="55C0AE1B" w:rsidR="00162785" w:rsidRPr="00494B58" w:rsidRDefault="00C97FFA" w:rsidP="00FF739F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62785" w:rsidRPr="00494B58">
              <w:rPr>
                <w:rFonts w:ascii="Times New Roman" w:hAnsi="Times New Roman" w:cs="Times New Roman"/>
                <w:sz w:val="24"/>
                <w:szCs w:val="24"/>
              </w:rPr>
              <w:t>.1 - Adoção de orçamento sigiloso, quando for o caso (art. 24 da Lei n. 14.133/2021; arts. 51 e 91 do Decreto Estadual n. 21.872/2023);</w:t>
            </w:r>
          </w:p>
          <w:p w14:paraId="79E9BB22" w14:textId="5AA08E7B" w:rsidR="00162785" w:rsidRPr="00494B58" w:rsidRDefault="00C97FFA" w:rsidP="00FF739F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62785" w:rsidRPr="00494B58">
              <w:rPr>
                <w:rFonts w:ascii="Times New Roman" w:hAnsi="Times New Roman" w:cs="Times New Roman"/>
                <w:sz w:val="24"/>
                <w:szCs w:val="24"/>
              </w:rPr>
              <w:t>.2 - Adoção de pregão presencial, se for o caso (art. 17, § 2º, da Lei n. 14.133/2021; art. 187 do Decreto Estadual n. 21.872/2023</w:t>
            </w:r>
            <w:r w:rsidR="00AE3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2785" w:rsidRPr="00494B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B00F28" w14:textId="40AE42D7" w:rsidR="00162785" w:rsidRPr="00494B58" w:rsidRDefault="00C97FFA" w:rsidP="00FF739F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62785" w:rsidRPr="00494B58">
              <w:rPr>
                <w:rFonts w:ascii="Times New Roman" w:hAnsi="Times New Roman" w:cs="Times New Roman"/>
                <w:sz w:val="24"/>
                <w:szCs w:val="24"/>
              </w:rPr>
              <w:t>.3 - Inversão entre as fases de habilitação e de apresentação de propostas e lances e de julgamento, se for o caso (art. 17, § 1º, da Lei n. 14.133/2021; art. 87, §1º, do Decreto Estadual n. 21.872/2023;</w:t>
            </w:r>
          </w:p>
          <w:p w14:paraId="78AEB681" w14:textId="55CAD54E" w:rsidR="00162785" w:rsidRPr="00494B58" w:rsidRDefault="00C97FFA" w:rsidP="00FF739F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  <w:r w:rsidR="00162785" w:rsidRPr="00494B58">
              <w:rPr>
                <w:rFonts w:ascii="Times New Roman" w:hAnsi="Times New Roman" w:cs="Times New Roman"/>
                <w:sz w:val="24"/>
                <w:szCs w:val="24"/>
              </w:rPr>
              <w:t>.4 - E</w:t>
            </w:r>
            <w:r w:rsidR="00162785" w:rsidRPr="00494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xigências de qualificação técnica, mediante indicação das parcelas de maior relevância técnica ou valor significativo do objeto, e de qualificação econômico-financeira;</w:t>
            </w:r>
          </w:p>
          <w:p w14:paraId="2015F686" w14:textId="1EF323E6" w:rsidR="00162785" w:rsidRPr="00494B58" w:rsidRDefault="00C97FFA" w:rsidP="00FF739F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62785" w:rsidRPr="00494B58">
              <w:rPr>
                <w:rFonts w:ascii="Times New Roman" w:hAnsi="Times New Roman" w:cs="Times New Roman"/>
                <w:sz w:val="24"/>
                <w:szCs w:val="24"/>
              </w:rPr>
              <w:t>.5 - J</w:t>
            </w:r>
            <w:r w:rsidR="00162785" w:rsidRPr="00494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ustificativa das regras pertinentes à participação de empresas em consórcio (art. 15 da Lei nº 14.133/21);</w:t>
            </w:r>
          </w:p>
          <w:p w14:paraId="59E6C560" w14:textId="6A9FECEA" w:rsidR="00162785" w:rsidRPr="00494B58" w:rsidRDefault="00C97FFA" w:rsidP="00494B58">
            <w:pPr>
              <w:autoSpaceDE w:val="0"/>
              <w:autoSpaceDN w:val="0"/>
              <w:adjustRightInd w:val="0"/>
              <w:ind w:lef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62785" w:rsidRPr="00494B58">
              <w:rPr>
                <w:rFonts w:ascii="Times New Roman" w:hAnsi="Times New Roman" w:cs="Times New Roman"/>
                <w:sz w:val="24"/>
                <w:szCs w:val="24"/>
              </w:rPr>
              <w:t>.6 - J</w:t>
            </w:r>
            <w:r w:rsidR="00162785" w:rsidRPr="00494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ustificativa das regras pertinentes à participação de cooperativas (art. 16 da Lei nº 14.133/21).</w:t>
            </w:r>
          </w:p>
        </w:tc>
        <w:tc>
          <w:tcPr>
            <w:tcW w:w="1548" w:type="dxa"/>
            <w:vAlign w:val="center"/>
          </w:tcPr>
          <w:p w14:paraId="6C249D89" w14:textId="77777777" w:rsidR="00162785" w:rsidRPr="00494B58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714DE68D" w14:textId="53BC783F" w:rsidTr="00162785">
        <w:trPr>
          <w:trHeight w:val="664"/>
          <w:tblCellSpacing w:w="0" w:type="dxa"/>
          <w:jc w:val="center"/>
        </w:trPr>
        <w:tc>
          <w:tcPr>
            <w:tcW w:w="6949" w:type="dxa"/>
          </w:tcPr>
          <w:p w14:paraId="01E9617F" w14:textId="3DC1F0B5" w:rsidR="00162785" w:rsidRPr="00494B58" w:rsidRDefault="00C97FFA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162785" w:rsidRPr="00494B58">
              <w:rPr>
                <w:rFonts w:ascii="Times New Roman" w:hAnsi="Times New Roman" w:cs="Times New Roman"/>
                <w:sz w:val="24"/>
                <w:szCs w:val="24"/>
              </w:rPr>
              <w:t xml:space="preserve"> - Aprovação do ETP e do mapa de riscos, se houver, do orçamento estimado e do termo de referência, pela autoridade competente do órgão interessado (art. 18 do Decreto Estadual n. 21.872/2023);</w:t>
            </w:r>
          </w:p>
        </w:tc>
        <w:tc>
          <w:tcPr>
            <w:tcW w:w="1548" w:type="dxa"/>
            <w:vAlign w:val="center"/>
          </w:tcPr>
          <w:p w14:paraId="005DDCE3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24EFB619" w14:textId="2BEF9555" w:rsidTr="00162785">
        <w:trPr>
          <w:trHeight w:val="664"/>
          <w:tblCellSpacing w:w="0" w:type="dxa"/>
          <w:jc w:val="center"/>
        </w:trPr>
        <w:tc>
          <w:tcPr>
            <w:tcW w:w="6949" w:type="dxa"/>
          </w:tcPr>
          <w:p w14:paraId="5492AFE0" w14:textId="1FB064F3" w:rsidR="00162785" w:rsidRPr="00494B58" w:rsidRDefault="00162785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C97FF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94B58">
              <w:rPr>
                <w:rFonts w:ascii="Times New Roman" w:hAnsi="Times New Roman" w:cs="Times New Roman"/>
                <w:sz w:val="24"/>
                <w:szCs w:val="24"/>
              </w:rPr>
              <w:t xml:space="preserve"> - Autorização de abertura do procedimento licitatório pela autoridade competente do órgão interessado (art. 17, VIII, e 53, do Decreto Estadual n. 21.872/2023);</w:t>
            </w:r>
          </w:p>
          <w:p w14:paraId="1A721080" w14:textId="77777777" w:rsidR="00162785" w:rsidRPr="00494B58" w:rsidRDefault="00162785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5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Nota explicativa</w:t>
            </w:r>
            <w:r w:rsidRPr="00494B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: aprovação e autorização podem constar no mesmo documento</w:t>
            </w:r>
            <w:r w:rsidRPr="00494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21409F72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516E7718" w14:textId="20DA7B82" w:rsidTr="00162785">
        <w:trPr>
          <w:trHeight w:val="487"/>
          <w:tblCellSpacing w:w="0" w:type="dxa"/>
          <w:jc w:val="center"/>
        </w:trPr>
        <w:tc>
          <w:tcPr>
            <w:tcW w:w="6949" w:type="dxa"/>
          </w:tcPr>
          <w:p w14:paraId="705A40A2" w14:textId="0B080145" w:rsidR="00162785" w:rsidRPr="00494B58" w:rsidRDefault="00162785" w:rsidP="00860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0C5D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4B58">
              <w:rPr>
                <w:rFonts w:ascii="Times New Roman" w:hAnsi="Times New Roman" w:cs="Times New Roman"/>
                <w:sz w:val="24"/>
                <w:szCs w:val="24"/>
              </w:rPr>
              <w:t xml:space="preserve"> - Designação de pregoeiro e equipe de apoio (art. 17, IX, do Decreto Estadual n. 21.872/2023);</w:t>
            </w:r>
          </w:p>
        </w:tc>
        <w:tc>
          <w:tcPr>
            <w:tcW w:w="1548" w:type="dxa"/>
            <w:vAlign w:val="center"/>
          </w:tcPr>
          <w:p w14:paraId="78C0E74A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2A1E09A1" w14:textId="1B760383" w:rsidTr="00162785">
        <w:trPr>
          <w:trHeight w:val="487"/>
          <w:tblCellSpacing w:w="0" w:type="dxa"/>
          <w:jc w:val="center"/>
        </w:trPr>
        <w:tc>
          <w:tcPr>
            <w:tcW w:w="6949" w:type="dxa"/>
          </w:tcPr>
          <w:p w14:paraId="1DADABAC" w14:textId="302A23D9" w:rsidR="00162785" w:rsidRPr="00494B58" w:rsidRDefault="000C5D3D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 w:rsidR="00162785" w:rsidRPr="00494B58">
              <w:rPr>
                <w:rFonts w:ascii="Times New Roman" w:hAnsi="Times New Roman" w:cs="Times New Roman"/>
                <w:sz w:val="24"/>
                <w:szCs w:val="24"/>
              </w:rPr>
              <w:t xml:space="preserve"> – Matriz de riscos, quando for o caso (arts. 17, III, 33 e 34, do Decreto Estadual n. 21.872/2023);</w:t>
            </w:r>
          </w:p>
          <w:p w14:paraId="22EA1204" w14:textId="782CDCCD" w:rsidR="00162785" w:rsidRPr="00C23A8F" w:rsidRDefault="00162785" w:rsidP="00C23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494B5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highlight w:val="yellow"/>
              </w:rPr>
              <w:t>Nota Explicativa: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  <w:t xml:space="preserve"> Conforme Decreto Estadual n. 21.872/2023, a</w:t>
            </w:r>
            <w:r w:rsidRPr="00C23A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  <w:t>rt. 34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  <w:t xml:space="preserve">: </w:t>
            </w:r>
            <w:r w:rsidRPr="00C23A8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  <w:t xml:space="preserve">“Os órgãos e entidades deverão elaborar a matriz de riscos nas contratações de obras, serviços ou fornecimentos cujo valor estimado superar a quantia de 2% do limite previsto no art. 6º, XXII, da Lei n. 14.133/2021. </w:t>
            </w:r>
          </w:p>
          <w:p w14:paraId="08C1FA99" w14:textId="10B174BB" w:rsidR="00162785" w:rsidRPr="00C23A8F" w:rsidRDefault="00162785" w:rsidP="00C23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C23A8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  <w:t>§ 1º Além do caso previsto no caput, deverá ser elaborada matriz de riscos quando a natureza do processo envolver riscos relevantes que possam ocasionar o desequilíbrio econômico-financeiro do contrato.”</w:t>
            </w:r>
          </w:p>
          <w:p w14:paraId="3361BC00" w14:textId="7DB85036" w:rsidR="00162785" w:rsidRDefault="00162785" w:rsidP="00494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6EE96DB" w14:textId="164D6D2B" w:rsidR="00162785" w:rsidRPr="00494B58" w:rsidRDefault="00162785" w:rsidP="00494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971755C" w14:textId="77777777" w:rsidR="00162785" w:rsidRPr="00494B58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4F6CA1F0" w14:textId="30B009D0" w:rsidTr="00162785">
        <w:trPr>
          <w:trHeight w:val="487"/>
          <w:tblCellSpacing w:w="0" w:type="dxa"/>
          <w:jc w:val="center"/>
        </w:trPr>
        <w:tc>
          <w:tcPr>
            <w:tcW w:w="6949" w:type="dxa"/>
          </w:tcPr>
          <w:p w14:paraId="5D70E777" w14:textId="40121E33" w:rsidR="00162785" w:rsidRPr="001713E9" w:rsidRDefault="000C5D3D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6278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62785"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– Declaração de utilização das minutas padronizadas de edital e contrato da PGE;</w:t>
            </w:r>
          </w:p>
        </w:tc>
        <w:tc>
          <w:tcPr>
            <w:tcW w:w="1548" w:type="dxa"/>
            <w:vAlign w:val="center"/>
          </w:tcPr>
          <w:p w14:paraId="6C753DA9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6ACD333D" w14:textId="68CB7913" w:rsidTr="00162785">
        <w:trPr>
          <w:trHeight w:val="735"/>
          <w:tblCellSpacing w:w="0" w:type="dxa"/>
          <w:jc w:val="center"/>
        </w:trPr>
        <w:tc>
          <w:tcPr>
            <w:tcW w:w="6949" w:type="dxa"/>
          </w:tcPr>
          <w:p w14:paraId="158D48A2" w14:textId="121D6B30" w:rsidR="00162785" w:rsidRPr="001713E9" w:rsidRDefault="00162785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="000C5D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- Minutas do edital, contrato e respectivos anexos (art.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 V e VI, da Lei n. 14.133/2021; art. 17, X e XI, do Decreto Estadual n. 21.872/2023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024A75F" w14:textId="77777777" w:rsidR="00162785" w:rsidRDefault="00162785" w:rsidP="004E5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3D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 xml:space="preserve">Nota explicativa: </w:t>
            </w:r>
            <w:r w:rsidRPr="004C33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Deverão ser utilizadas as minutas padronizadas constantes na página da PGE na </w:t>
            </w:r>
            <w:r w:rsidRPr="004C33D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internet</w:t>
            </w:r>
            <w:r w:rsidRPr="004C33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Ressalte-se que o instrumento de contrato pode ser substituído por nota de empenho acompanhada de autorização de compra ou de ordem de serviço, sendo recomendada a sua formalização quando as contratações gerarem obrigações futuras, inclusive assistência técnica (art. 95, I, da Lei nº 14.133/2021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Pr="004C33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Mesmo nesses casos,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é </w:t>
            </w:r>
            <w:r w:rsidRPr="004C33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necessário publicar o extrato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283D86" w14:textId="09F94A31" w:rsidR="00162785" w:rsidRPr="001713E9" w:rsidRDefault="00162785" w:rsidP="004E5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60F0B155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223940D9" w14:textId="0CCFE525" w:rsidTr="00162785">
        <w:trPr>
          <w:trHeight w:val="735"/>
          <w:tblCellSpacing w:w="0" w:type="dxa"/>
          <w:jc w:val="center"/>
        </w:trPr>
        <w:tc>
          <w:tcPr>
            <w:tcW w:w="6949" w:type="dxa"/>
          </w:tcPr>
          <w:p w14:paraId="5EB8FE09" w14:textId="77777777" w:rsidR="004A62E0" w:rsidRDefault="004A62E0" w:rsidP="004A62E0">
            <w:pPr>
              <w:tabs>
                <w:tab w:val="left" w:pos="2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193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D6193">
              <w:rPr>
                <w:rFonts w:ascii="Times New Roman" w:hAnsi="Times New Roman" w:cs="Times New Roman"/>
                <w:sz w:val="24"/>
                <w:szCs w:val="24"/>
              </w:rPr>
              <w:t xml:space="preserve"> - Análise prévia pela Controladoria-Geral do Estado;</w:t>
            </w:r>
          </w:p>
          <w:p w14:paraId="79F68DB6" w14:textId="77777777" w:rsidR="004A62E0" w:rsidRDefault="004A62E0" w:rsidP="004A62E0">
            <w:pPr>
              <w:tabs>
                <w:tab w:val="left" w:pos="2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14:paraId="73AC80C7" w14:textId="77777777" w:rsidR="00162785" w:rsidRDefault="004A62E0" w:rsidP="004A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27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Nota </w:t>
            </w:r>
            <w:r w:rsidRPr="0074662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explicativa: </w:t>
            </w:r>
            <w:r w:rsidRPr="007466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Conforme Despacho PGE n. 760/2023, proferido no processo SEI 00012.000487/2023-96, recomenda-se a manifestação da CGE em contratações de grande vulto e acentuada complexidade, bem como em casos de dúvidas acerca da adequação da pesquisa de preços, </w:t>
            </w:r>
            <w:r w:rsidRPr="003C527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devendo o gestor justificar nos autos em caso de renúncia à consulta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5D33AB23" w14:textId="6D4B0FDD" w:rsidR="004A62E0" w:rsidRPr="001713E9" w:rsidRDefault="004A62E0" w:rsidP="004A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E967910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15D24BD0" w14:textId="0DAF0C45" w:rsidTr="00162785">
        <w:trPr>
          <w:trHeight w:val="478"/>
          <w:tblCellSpacing w:w="0" w:type="dxa"/>
          <w:jc w:val="center"/>
        </w:trPr>
        <w:tc>
          <w:tcPr>
            <w:tcW w:w="6949" w:type="dxa"/>
          </w:tcPr>
          <w:p w14:paraId="0979843A" w14:textId="2D2B64BB" w:rsidR="00162785" w:rsidRPr="001713E9" w:rsidRDefault="00162785" w:rsidP="00860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="000C5D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- Parecer PGE (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 § 4º, Lei n. 14.133/2021; art. 69 do Decreto Estadual n. 21.872/2023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548" w:type="dxa"/>
            <w:vAlign w:val="center"/>
          </w:tcPr>
          <w:p w14:paraId="0F76620D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550D1D62" w14:textId="4B9C3BED" w:rsidTr="00162785">
        <w:trPr>
          <w:trHeight w:val="374"/>
          <w:tblCellSpacing w:w="0" w:type="dxa"/>
          <w:jc w:val="center"/>
        </w:trPr>
        <w:tc>
          <w:tcPr>
            <w:tcW w:w="6949" w:type="dxa"/>
          </w:tcPr>
          <w:p w14:paraId="3FB31A84" w14:textId="6B9436E3" w:rsidR="00162785" w:rsidRPr="001713E9" w:rsidRDefault="000C5D3D" w:rsidP="006D26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162785"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62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785" w:rsidRPr="001713E9">
              <w:rPr>
                <w:rFonts w:ascii="Times New Roman" w:hAnsi="Times New Roman" w:cs="Times New Roman"/>
                <w:sz w:val="24"/>
                <w:szCs w:val="24"/>
              </w:rPr>
              <w:t>Autorização de abertura de lici</w:t>
            </w:r>
            <w:r w:rsidR="006D26B8">
              <w:rPr>
                <w:rFonts w:ascii="Times New Roman" w:hAnsi="Times New Roman" w:cs="Times New Roman"/>
                <w:sz w:val="24"/>
                <w:szCs w:val="24"/>
              </w:rPr>
              <w:t>tação pelo Secretário da SEAD</w:t>
            </w:r>
            <w:r w:rsidR="00162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785" w:rsidRPr="001713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2785">
              <w:rPr>
                <w:rFonts w:ascii="Times New Roman" w:hAnsi="Times New Roman" w:cs="Times New Roman"/>
                <w:sz w:val="24"/>
                <w:szCs w:val="24"/>
              </w:rPr>
              <w:t>Art. 17, III, XV e XIX, da Lei Estadual n. 7.884/2022</w:t>
            </w:r>
            <w:r w:rsidR="00162785" w:rsidRPr="001713E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548" w:type="dxa"/>
            <w:vAlign w:val="center"/>
          </w:tcPr>
          <w:p w14:paraId="43B3DD92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235FE844" w14:textId="66480826" w:rsidTr="00162785">
        <w:trPr>
          <w:trHeight w:val="609"/>
          <w:tblCellSpacing w:w="0" w:type="dxa"/>
          <w:jc w:val="center"/>
        </w:trPr>
        <w:tc>
          <w:tcPr>
            <w:tcW w:w="6949" w:type="dxa"/>
          </w:tcPr>
          <w:p w14:paraId="732D13DD" w14:textId="1F7A4339" w:rsidR="00162785" w:rsidRPr="001713E9" w:rsidRDefault="000C5D3D" w:rsidP="00B477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627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62785"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– Publicação do aviso do edital (</w:t>
            </w:r>
            <w:r w:rsidR="00162785" w:rsidRPr="008B27AF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162785">
              <w:rPr>
                <w:rFonts w:ascii="Times New Roman" w:hAnsi="Times New Roman" w:cs="Times New Roman"/>
                <w:sz w:val="24"/>
                <w:szCs w:val="24"/>
              </w:rPr>
              <w:t>54 da Lei n. 14.133/2021; art. 93 do Decreto Estadual n. 21.872/2023</w:t>
            </w:r>
            <w:r w:rsidR="00162785" w:rsidRPr="001713E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548" w:type="dxa"/>
            <w:vAlign w:val="center"/>
          </w:tcPr>
          <w:p w14:paraId="746D7909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0A46B389" w14:textId="26C9494E" w:rsidTr="00162785">
        <w:trPr>
          <w:trHeight w:val="678"/>
          <w:tblCellSpacing w:w="0" w:type="dxa"/>
          <w:jc w:val="center"/>
        </w:trPr>
        <w:tc>
          <w:tcPr>
            <w:tcW w:w="6949" w:type="dxa"/>
          </w:tcPr>
          <w:p w14:paraId="315E5098" w14:textId="3071B6E7" w:rsidR="00162785" w:rsidRPr="009554A2" w:rsidRDefault="00162785" w:rsidP="00EE2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0C5D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5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906">
              <w:rPr>
                <w:rFonts w:ascii="Times New Roman" w:hAnsi="Times New Roman" w:cs="Times New Roman"/>
                <w:sz w:val="24"/>
                <w:szCs w:val="24"/>
              </w:rPr>
              <w:t>– Comunicação de abertura de procedimento licitatório ao Tribunal de Contas do Estado do Piauí até o dia útil imediatamente posterior ao da última publicação do aviso de licitação (art. 6º, Instrução</w:t>
            </w:r>
            <w:r w:rsidRPr="009554A2">
              <w:rPr>
                <w:rFonts w:ascii="Times New Roman" w:hAnsi="Times New Roman" w:cs="Times New Roman"/>
                <w:sz w:val="24"/>
                <w:szCs w:val="24"/>
              </w:rPr>
              <w:t xml:space="preserve"> Normativa nº 06/2017 - TCE/PI);</w:t>
            </w:r>
          </w:p>
        </w:tc>
        <w:tc>
          <w:tcPr>
            <w:tcW w:w="1548" w:type="dxa"/>
            <w:vAlign w:val="center"/>
          </w:tcPr>
          <w:p w14:paraId="130DF2B5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34524B0B" w14:textId="1924B42B" w:rsidTr="00162785">
        <w:trPr>
          <w:trHeight w:val="364"/>
          <w:tblCellSpacing w:w="0" w:type="dxa"/>
          <w:jc w:val="center"/>
        </w:trPr>
        <w:tc>
          <w:tcPr>
            <w:tcW w:w="6949" w:type="dxa"/>
          </w:tcPr>
          <w:p w14:paraId="556239DA" w14:textId="1582838D" w:rsidR="00162785" w:rsidRPr="009554A2" w:rsidRDefault="00162785" w:rsidP="000C5D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="000C5D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554A2">
              <w:rPr>
                <w:rFonts w:ascii="Times New Roman" w:hAnsi="Times New Roman" w:cs="Times New Roman"/>
                <w:sz w:val="24"/>
                <w:szCs w:val="24"/>
              </w:rPr>
              <w:t xml:space="preserve"> - Atas, relatórios e deliberações do </w:t>
            </w:r>
            <w:r w:rsidR="000C5D3D">
              <w:rPr>
                <w:rFonts w:ascii="Times New Roman" w:hAnsi="Times New Roman" w:cs="Times New Roman"/>
                <w:sz w:val="24"/>
                <w:szCs w:val="24"/>
              </w:rPr>
              <w:t>Pregoeiro</w:t>
            </w:r>
            <w:r w:rsidRPr="009554A2">
              <w:rPr>
                <w:rFonts w:ascii="Times New Roman" w:hAnsi="Times New Roman" w:cs="Times New Roman"/>
                <w:sz w:val="24"/>
                <w:szCs w:val="24"/>
              </w:rPr>
              <w:t xml:space="preserve"> e equipe de apoio;</w:t>
            </w:r>
          </w:p>
        </w:tc>
        <w:tc>
          <w:tcPr>
            <w:tcW w:w="1548" w:type="dxa"/>
            <w:vAlign w:val="center"/>
          </w:tcPr>
          <w:p w14:paraId="302081C1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6163A81E" w14:textId="6A1EA26D" w:rsidTr="00162785">
        <w:trPr>
          <w:trHeight w:val="621"/>
          <w:tblCellSpacing w:w="0" w:type="dxa"/>
          <w:jc w:val="center"/>
        </w:trPr>
        <w:tc>
          <w:tcPr>
            <w:tcW w:w="6949" w:type="dxa"/>
          </w:tcPr>
          <w:p w14:paraId="5415BF95" w14:textId="4AFD8493" w:rsidR="00162785" w:rsidRPr="00B47759" w:rsidRDefault="00162785" w:rsidP="00860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="000C5D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554A2">
              <w:rPr>
                <w:rFonts w:ascii="Times New Roman" w:hAnsi="Times New Roman" w:cs="Times New Roman"/>
                <w:sz w:val="24"/>
                <w:szCs w:val="24"/>
              </w:rPr>
              <w:t xml:space="preserve"> – Análise final do procedimento pelo controle interno do órgão (Art.13 da Instrução Normativa nº 05/2017, do Tribunal de Contas do Estado do Piauí); </w:t>
            </w:r>
          </w:p>
        </w:tc>
        <w:tc>
          <w:tcPr>
            <w:tcW w:w="1548" w:type="dxa"/>
            <w:vAlign w:val="center"/>
          </w:tcPr>
          <w:p w14:paraId="344A1D38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6B0E47CE" w14:textId="1A4FBD38" w:rsidTr="00162785">
        <w:trPr>
          <w:trHeight w:val="399"/>
          <w:tblCellSpacing w:w="0" w:type="dxa"/>
          <w:jc w:val="center"/>
        </w:trPr>
        <w:tc>
          <w:tcPr>
            <w:tcW w:w="6949" w:type="dxa"/>
          </w:tcPr>
          <w:p w14:paraId="473583CE" w14:textId="2C2F971E" w:rsidR="00162785" w:rsidRPr="00B47759" w:rsidRDefault="000C5D3D" w:rsidP="00860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XXIV</w:t>
            </w:r>
            <w:r w:rsidR="00162785" w:rsidRPr="009554A2">
              <w:rPr>
                <w:rFonts w:ascii="Times New Roman" w:hAnsi="Times New Roman" w:cs="Times New Roman"/>
                <w:sz w:val="24"/>
                <w:szCs w:val="24"/>
              </w:rPr>
              <w:t> - Atos de adjudicação do objeto da licitação e da sua homologação e respectivas publicações;</w:t>
            </w:r>
          </w:p>
        </w:tc>
        <w:tc>
          <w:tcPr>
            <w:tcW w:w="1548" w:type="dxa"/>
            <w:vAlign w:val="center"/>
          </w:tcPr>
          <w:p w14:paraId="001AD8F3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FFA" w:rsidRPr="001713E9" w14:paraId="6D5F0B54" w14:textId="77777777" w:rsidTr="00162785">
        <w:trPr>
          <w:trHeight w:val="399"/>
          <w:tblCellSpacing w:w="0" w:type="dxa"/>
          <w:jc w:val="center"/>
        </w:trPr>
        <w:tc>
          <w:tcPr>
            <w:tcW w:w="6949" w:type="dxa"/>
          </w:tcPr>
          <w:p w14:paraId="7C4728FA" w14:textId="4E08C05F" w:rsidR="00C97FFA" w:rsidRDefault="00C97FFA" w:rsidP="00860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EB">
              <w:rPr>
                <w:rFonts w:ascii="Times New Roman" w:hAnsi="Times New Roman" w:cs="Times New Roman"/>
                <w:sz w:val="24"/>
                <w:szCs w:val="24"/>
              </w:rPr>
              <w:t>XXV – Publicação do extrato da Ata de Registro de Preços;</w:t>
            </w:r>
          </w:p>
        </w:tc>
        <w:tc>
          <w:tcPr>
            <w:tcW w:w="1548" w:type="dxa"/>
            <w:vAlign w:val="center"/>
          </w:tcPr>
          <w:p w14:paraId="50FBF7D2" w14:textId="77777777" w:rsidR="00C97FFA" w:rsidRDefault="00C97FFA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FFA" w:rsidRPr="001713E9" w14:paraId="1EBBE10D" w14:textId="77777777" w:rsidTr="00162785">
        <w:trPr>
          <w:trHeight w:val="399"/>
          <w:tblCellSpacing w:w="0" w:type="dxa"/>
          <w:jc w:val="center"/>
        </w:trPr>
        <w:tc>
          <w:tcPr>
            <w:tcW w:w="6949" w:type="dxa"/>
          </w:tcPr>
          <w:p w14:paraId="75D9ED9D" w14:textId="7DBD71F4" w:rsidR="00C97FFA" w:rsidRPr="00854DEB" w:rsidRDefault="00C97FFA" w:rsidP="00860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XXVI </w:t>
            </w:r>
            <w:r w:rsidRPr="00FF4BD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Comunicação do resultado da licitação à Secretaria de Administração no prazo de (cinco) dias úteis, caso se trate de Registro de Preços Setorial (art. 7º, § 4º, do Decreto Estadual n. 21.938/2023);</w:t>
            </w:r>
          </w:p>
        </w:tc>
        <w:tc>
          <w:tcPr>
            <w:tcW w:w="1548" w:type="dxa"/>
            <w:vAlign w:val="center"/>
          </w:tcPr>
          <w:p w14:paraId="447D8749" w14:textId="77777777" w:rsidR="00C97FFA" w:rsidRDefault="00C97FFA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5" w:rsidRPr="001713E9" w14:paraId="7864579B" w14:textId="0AFBD4B9" w:rsidTr="00162785">
        <w:trPr>
          <w:trHeight w:val="802"/>
          <w:tblCellSpacing w:w="0" w:type="dxa"/>
          <w:jc w:val="center"/>
        </w:trPr>
        <w:tc>
          <w:tcPr>
            <w:tcW w:w="6949" w:type="dxa"/>
          </w:tcPr>
          <w:p w14:paraId="172B6F95" w14:textId="67C99BBE" w:rsidR="00162785" w:rsidRPr="00B47759" w:rsidRDefault="00162785" w:rsidP="00860E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XXVII</w:t>
            </w:r>
            <w:r w:rsidRPr="009554A2">
              <w:rPr>
                <w:rFonts w:ascii="Times New Roman" w:hAnsi="Times New Roman" w:cs="Times New Roman"/>
                <w:sz w:val="24"/>
                <w:szCs w:val="24"/>
              </w:rPr>
              <w:t xml:space="preserve"> – Comunicação de encerramento de procedimento licitatório ao Tribunal de Contas do </w:t>
            </w:r>
            <w:r w:rsidRPr="00F96906">
              <w:rPr>
                <w:rFonts w:ascii="Times New Roman" w:hAnsi="Times New Roman" w:cs="Times New Roman"/>
                <w:sz w:val="24"/>
                <w:szCs w:val="24"/>
              </w:rPr>
              <w:t xml:space="preserve">Estado do Piauí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a</w:t>
            </w:r>
            <w:r w:rsidRPr="00F96906">
              <w:rPr>
                <w:rFonts w:ascii="Times New Roman" w:hAnsi="Times New Roman" w:cs="Times New Roman"/>
                <w:sz w:val="24"/>
                <w:szCs w:val="24"/>
              </w:rPr>
              <w:t>té 10 (dez) dias úteis após a homologação, ainda que parcial, relacionada a cada procedimento licitatório (art</w:t>
            </w:r>
            <w:r w:rsidRPr="009554A2">
              <w:rPr>
                <w:rFonts w:ascii="Times New Roman" w:hAnsi="Times New Roman" w:cs="Times New Roman"/>
                <w:sz w:val="24"/>
                <w:szCs w:val="24"/>
              </w:rPr>
              <w:t>. 7º, Instrução Normativa nº 06/2017 - TCE/PI).</w:t>
            </w:r>
          </w:p>
        </w:tc>
        <w:tc>
          <w:tcPr>
            <w:tcW w:w="1548" w:type="dxa"/>
            <w:vAlign w:val="center"/>
          </w:tcPr>
          <w:p w14:paraId="7A1C716E" w14:textId="77777777" w:rsidR="00162785" w:rsidRDefault="00162785" w:rsidP="00162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25BE7" w14:textId="3D0F279E" w:rsidR="00962D48" w:rsidRPr="00962D48" w:rsidRDefault="00962D48" w:rsidP="00962D48"/>
    <w:sectPr w:rsidR="00962D48" w:rsidRPr="00962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1BD4" w14:textId="77777777" w:rsidR="00AE4A5E" w:rsidRDefault="00AE4A5E" w:rsidP="00962D48">
      <w:pPr>
        <w:spacing w:after="0" w:line="240" w:lineRule="auto"/>
      </w:pPr>
      <w:r>
        <w:separator/>
      </w:r>
    </w:p>
  </w:endnote>
  <w:endnote w:type="continuationSeparator" w:id="0">
    <w:p w14:paraId="4D3BDF01" w14:textId="77777777" w:rsidR="00AE4A5E" w:rsidRDefault="00AE4A5E" w:rsidP="0096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D5EA" w14:textId="77777777" w:rsidR="00C97FFA" w:rsidRDefault="00C97F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4168" w14:textId="7CF0B8B8" w:rsidR="00D60565" w:rsidRDefault="00D60565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D7F9D" wp14:editId="39EB64F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tângulo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100DB" w14:textId="3E150097" w:rsidR="00D60565" w:rsidRDefault="00D60565" w:rsidP="00D60565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Lista de Verificação – Lei n. 14.133/2021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br/>
                            <w:t>Pregão Eletrônico</w:t>
                          </w:r>
                          <w:r w:rsidR="00C97FF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COM SRP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– Serviços Comuns de Engenharia</w:t>
                          </w:r>
                        </w:p>
                        <w:p w14:paraId="606AEA11" w14:textId="3EA75804" w:rsidR="00D60565" w:rsidRDefault="00527C9D">
                          <w:pPr>
                            <w:jc w:val="right"/>
                          </w:pPr>
                          <w:r w:rsidRPr="00527C9D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Outubro</w:t>
                          </w:r>
                          <w:r w:rsidR="009A4DC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/2025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286D7F9D" id="Retângulo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p w14:paraId="1F7100DB" w14:textId="3E150097" w:rsidR="00D60565" w:rsidRDefault="00D60565" w:rsidP="00D60565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Lista de Verificação – Lei n. 14.133/2021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br/>
                      <w:t>Pregão Eletrônico</w:t>
                    </w:r>
                    <w:r w:rsidR="00C97FFA">
                      <w:rPr>
                        <w:b/>
                        <w:bCs/>
                        <w:sz w:val="18"/>
                        <w:szCs w:val="18"/>
                      </w:rPr>
                      <w:t xml:space="preserve"> COM SRP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– Serviços Comuns de Engenharia</w:t>
                    </w:r>
                  </w:p>
                  <w:p w14:paraId="606AEA11" w14:textId="3EA75804" w:rsidR="00D60565" w:rsidRDefault="00527C9D">
                    <w:pPr>
                      <w:jc w:val="right"/>
                    </w:pPr>
                    <w:r w:rsidRPr="00527C9D">
                      <w:rPr>
                        <w:b/>
                        <w:bCs/>
                        <w:sz w:val="18"/>
                        <w:szCs w:val="18"/>
                      </w:rPr>
                      <w:t>Outubro</w:t>
                    </w:r>
                    <w:r w:rsidR="009A4DCB">
                      <w:rPr>
                        <w:b/>
                        <w:bCs/>
                        <w:sz w:val="18"/>
                        <w:szCs w:val="18"/>
                      </w:rPr>
                      <w:t>/2025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D3D9" w14:textId="77777777" w:rsidR="00C97FFA" w:rsidRDefault="00C97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DDFE" w14:textId="77777777" w:rsidR="00AE4A5E" w:rsidRDefault="00AE4A5E" w:rsidP="00962D48">
      <w:pPr>
        <w:spacing w:after="0" w:line="240" w:lineRule="auto"/>
      </w:pPr>
      <w:r>
        <w:separator/>
      </w:r>
    </w:p>
  </w:footnote>
  <w:footnote w:type="continuationSeparator" w:id="0">
    <w:p w14:paraId="0A780A4D" w14:textId="77777777" w:rsidR="00AE4A5E" w:rsidRDefault="00AE4A5E" w:rsidP="00962D48">
      <w:pPr>
        <w:spacing w:after="0" w:line="240" w:lineRule="auto"/>
      </w:pPr>
      <w:r>
        <w:continuationSeparator/>
      </w:r>
    </w:p>
  </w:footnote>
  <w:footnote w:id="1">
    <w:p w14:paraId="04C65043" w14:textId="77777777" w:rsidR="00962D48" w:rsidRDefault="00962D48" w:rsidP="00962D48">
      <w:pPr>
        <w:pStyle w:val="Textodenotaderodap"/>
        <w:rPr>
          <w:rFonts w:cs="Times New Roman"/>
        </w:rPr>
      </w:pPr>
      <w:r w:rsidRPr="00323A00">
        <w:rPr>
          <w:rStyle w:val="Refdenotaderodap"/>
          <w:rFonts w:cs="Times New Roman"/>
        </w:rPr>
        <w:footnoteRef/>
      </w:r>
      <w:r w:rsidRPr="00323A00">
        <w:t xml:space="preserve"> Esta Lista de Verificação e o fluxo correspondente não devem ser utilizados para instrução de processos de objetos a serem financiados total ou parcialmente com recursos oriundos de transferências voluntárias federais.</w:t>
      </w:r>
    </w:p>
  </w:footnote>
  <w:footnote w:id="2">
    <w:p w14:paraId="28E835E5" w14:textId="30D176AF" w:rsidR="00A53E74" w:rsidRDefault="00A53E74">
      <w:pPr>
        <w:pStyle w:val="Textodenotaderodap"/>
      </w:pPr>
      <w:r>
        <w:rPr>
          <w:rStyle w:val="Refdenotaderodap"/>
        </w:rPr>
        <w:footnoteRef/>
      </w:r>
      <w:r>
        <w:t xml:space="preserve"> Deverá o consulente preencher a tabela indicando o número SEI em que se encontra o documento indicado antes do envio dos autos à PGE.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3E67" w14:textId="77777777" w:rsidR="00C97FFA" w:rsidRDefault="00C97F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9A6E" w14:textId="77777777" w:rsidR="00AF6AE0" w:rsidRDefault="00AF6AE0" w:rsidP="00AF6AE0">
    <w:pPr>
      <w:pStyle w:val="Cabealho"/>
      <w:tabs>
        <w:tab w:val="left" w:pos="240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D64943E" wp14:editId="6697CBAA">
          <wp:simplePos x="0" y="0"/>
          <wp:positionH relativeFrom="column">
            <wp:posOffset>2348865</wp:posOffset>
          </wp:positionH>
          <wp:positionV relativeFrom="paragraph">
            <wp:posOffset>-182880</wp:posOffset>
          </wp:positionV>
          <wp:extent cx="636270" cy="581660"/>
          <wp:effectExtent l="19050" t="0" r="0" b="0"/>
          <wp:wrapSquare wrapText="lef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86403B" w14:textId="77777777" w:rsidR="00AF6AE0" w:rsidRDefault="00AF6AE0" w:rsidP="00AF6AE0">
    <w:pPr>
      <w:pStyle w:val="Cabealho"/>
      <w:tabs>
        <w:tab w:val="left" w:pos="2400"/>
      </w:tabs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765B0234" w14:textId="77777777" w:rsidR="00AF6AE0" w:rsidRDefault="00AF6AE0" w:rsidP="00AF6AE0">
    <w:pPr>
      <w:pStyle w:val="Cabealho"/>
      <w:tabs>
        <w:tab w:val="left" w:pos="2400"/>
      </w:tabs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1C707EE0" w14:textId="77777777" w:rsidR="00AF6AE0" w:rsidRPr="00527A77" w:rsidRDefault="00AF6AE0" w:rsidP="00AF6AE0">
    <w:pPr>
      <w:pStyle w:val="Cabealho"/>
      <w:tabs>
        <w:tab w:val="left" w:pos="2400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 w:rsidRPr="00527A77">
      <w:rPr>
        <w:rFonts w:ascii="Times New Roman" w:hAnsi="Times New Roman" w:cs="Times New Roman"/>
        <w:b/>
        <w:bCs/>
        <w:sz w:val="20"/>
        <w:szCs w:val="20"/>
      </w:rPr>
      <w:t>ESTADO DO PIAUÍ</w:t>
    </w:r>
  </w:p>
  <w:p w14:paraId="22C02620" w14:textId="77777777" w:rsidR="00AF6AE0" w:rsidRPr="00527A77" w:rsidRDefault="00AF6AE0" w:rsidP="00AF6AE0">
    <w:pPr>
      <w:tabs>
        <w:tab w:val="left" w:pos="1418"/>
      </w:tabs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527A77">
      <w:rPr>
        <w:rFonts w:ascii="Times New Roman" w:hAnsi="Times New Roman" w:cs="Times New Roman"/>
        <w:b/>
        <w:bCs/>
        <w:sz w:val="20"/>
        <w:szCs w:val="20"/>
      </w:rPr>
      <w:t>SECRETARIA DE ESTADO DA FAZENDA</w:t>
    </w:r>
  </w:p>
  <w:p w14:paraId="40836FCB" w14:textId="77777777" w:rsidR="00AF6AE0" w:rsidRDefault="00AF6AE0" w:rsidP="00AF6AE0">
    <w:pPr>
      <w:tabs>
        <w:tab w:val="left" w:pos="1418"/>
      </w:tabs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527A77">
      <w:rPr>
        <w:rFonts w:ascii="Times New Roman" w:hAnsi="Times New Roman" w:cs="Times New Roman"/>
        <w:b/>
        <w:bCs/>
        <w:sz w:val="20"/>
        <w:szCs w:val="20"/>
      </w:rPr>
      <w:t>COMISSÃO DE GESTÃO FINANCEIRA E GESTÃO POR RESULTADOS</w:t>
    </w:r>
  </w:p>
  <w:p w14:paraId="57F80409" w14:textId="77777777" w:rsidR="009A4DCB" w:rsidRDefault="009A4D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30ED" w14:textId="77777777" w:rsidR="00C97FFA" w:rsidRDefault="00C97F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48"/>
    <w:rsid w:val="000012BA"/>
    <w:rsid w:val="000239D9"/>
    <w:rsid w:val="00035101"/>
    <w:rsid w:val="000C5D3D"/>
    <w:rsid w:val="001221D1"/>
    <w:rsid w:val="00162785"/>
    <w:rsid w:val="0016647A"/>
    <w:rsid w:val="001C7F29"/>
    <w:rsid w:val="00202FB6"/>
    <w:rsid w:val="00203CB3"/>
    <w:rsid w:val="002655E8"/>
    <w:rsid w:val="00265EB9"/>
    <w:rsid w:val="00290568"/>
    <w:rsid w:val="002936BE"/>
    <w:rsid w:val="002B407F"/>
    <w:rsid w:val="002F4102"/>
    <w:rsid w:val="00306644"/>
    <w:rsid w:val="00331E26"/>
    <w:rsid w:val="003A7A0E"/>
    <w:rsid w:val="003C117F"/>
    <w:rsid w:val="00415887"/>
    <w:rsid w:val="00427FAC"/>
    <w:rsid w:val="00434F3B"/>
    <w:rsid w:val="00477669"/>
    <w:rsid w:val="00494B58"/>
    <w:rsid w:val="004A62E0"/>
    <w:rsid w:val="004D2CC8"/>
    <w:rsid w:val="004E5C4F"/>
    <w:rsid w:val="004F43FF"/>
    <w:rsid w:val="0050169E"/>
    <w:rsid w:val="005178C8"/>
    <w:rsid w:val="00524383"/>
    <w:rsid w:val="00525AF0"/>
    <w:rsid w:val="00527C9D"/>
    <w:rsid w:val="005946F8"/>
    <w:rsid w:val="00633290"/>
    <w:rsid w:val="006A1AA3"/>
    <w:rsid w:val="006B5C67"/>
    <w:rsid w:val="006D26B8"/>
    <w:rsid w:val="00731966"/>
    <w:rsid w:val="007D2E0E"/>
    <w:rsid w:val="007F4148"/>
    <w:rsid w:val="007F6659"/>
    <w:rsid w:val="008149CB"/>
    <w:rsid w:val="00857EE9"/>
    <w:rsid w:val="00860EC3"/>
    <w:rsid w:val="008A4FC2"/>
    <w:rsid w:val="008B1229"/>
    <w:rsid w:val="008D0C15"/>
    <w:rsid w:val="008D5BA7"/>
    <w:rsid w:val="00952132"/>
    <w:rsid w:val="009554A2"/>
    <w:rsid w:val="00962D48"/>
    <w:rsid w:val="009A4DCB"/>
    <w:rsid w:val="009C41DC"/>
    <w:rsid w:val="009E7656"/>
    <w:rsid w:val="00A53E74"/>
    <w:rsid w:val="00AA4278"/>
    <w:rsid w:val="00AB1962"/>
    <w:rsid w:val="00AE3179"/>
    <w:rsid w:val="00AE4A5E"/>
    <w:rsid w:val="00AF6AE0"/>
    <w:rsid w:val="00B47759"/>
    <w:rsid w:val="00B66901"/>
    <w:rsid w:val="00B84C02"/>
    <w:rsid w:val="00C23A8F"/>
    <w:rsid w:val="00C26A33"/>
    <w:rsid w:val="00C560A0"/>
    <w:rsid w:val="00C6567A"/>
    <w:rsid w:val="00C97FFA"/>
    <w:rsid w:val="00CD0101"/>
    <w:rsid w:val="00CE1281"/>
    <w:rsid w:val="00CE4684"/>
    <w:rsid w:val="00CF28E7"/>
    <w:rsid w:val="00D3659C"/>
    <w:rsid w:val="00D60565"/>
    <w:rsid w:val="00D73247"/>
    <w:rsid w:val="00DB35CA"/>
    <w:rsid w:val="00DE002A"/>
    <w:rsid w:val="00E229C1"/>
    <w:rsid w:val="00EA253B"/>
    <w:rsid w:val="00F0590E"/>
    <w:rsid w:val="00F50D1F"/>
    <w:rsid w:val="00F5260E"/>
    <w:rsid w:val="00F96906"/>
    <w:rsid w:val="00FF2BA0"/>
    <w:rsid w:val="00FF4BD8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2735E6"/>
  <w15:chartTrackingRefBased/>
  <w15:docId w15:val="{45BC03A4-8E73-4C85-890C-819FCA99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D48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rsid w:val="00962D48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2D48"/>
    <w:rPr>
      <w:rFonts w:ascii="Arial" w:eastAsia="Times New Roman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962D48"/>
    <w:rPr>
      <w:vertAlign w:val="superscript"/>
    </w:rPr>
  </w:style>
  <w:style w:type="character" w:styleId="Hyperlink">
    <w:name w:val="Hyperlink"/>
    <w:basedOn w:val="Fontepargpadro"/>
    <w:uiPriority w:val="99"/>
    <w:rsid w:val="00477669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34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4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4F3B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4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4F3B"/>
    <w:rPr>
      <w:rFonts w:ascii="Calibri" w:eastAsia="Calibri" w:hAnsi="Calibri" w:cs="Calibr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CB3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565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D60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56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B284-608A-427D-8C54-70D0CEC6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1511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Sérgio Sousa Silveira</cp:lastModifiedBy>
  <cp:revision>10</cp:revision>
  <dcterms:created xsi:type="dcterms:W3CDTF">2025-07-22T15:16:00Z</dcterms:created>
  <dcterms:modified xsi:type="dcterms:W3CDTF">2025-10-08T13:50:00Z</dcterms:modified>
</cp:coreProperties>
</file>